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5BDA0" w14:textId="4CD138BA" w:rsidR="00722E97" w:rsidRDefault="00722E97" w:rsidP="00722E97">
      <w:pPr>
        <w:pStyle w:val="Heading1"/>
      </w:pPr>
      <w:bookmarkStart w:id="0" w:name="Chapter_1_–_Introduction"/>
      <w:bookmarkStart w:id="1" w:name="_Toc491066491"/>
      <w:bookmarkStart w:id="2" w:name="_Toc505244719"/>
      <w:bookmarkEnd w:id="0"/>
      <w:r>
        <w:t>A</w:t>
      </w:r>
      <w:r w:rsidR="00807B72">
        <w:t>ppendix C</w:t>
      </w:r>
      <w:r>
        <w:t xml:space="preserve"> – </w:t>
      </w:r>
      <w:bookmarkStart w:id="3" w:name="_GoBack"/>
      <w:r>
        <w:t>Regulatory Issues, Transportation Requirements and Inspection Checklists</w:t>
      </w:r>
      <w:bookmarkEnd w:id="3"/>
    </w:p>
    <w:p w14:paraId="7A32C02E" w14:textId="52A0990E" w:rsidR="00722E97" w:rsidRDefault="00722E97" w:rsidP="00722E97">
      <w:pPr>
        <w:pStyle w:val="BodyText"/>
      </w:pPr>
      <w:r>
        <w:t xml:space="preserve">Additional helitorch documents are available on the NWCG website at: </w:t>
      </w:r>
      <w:hyperlink r:id="rId8" w:history="1">
        <w:r w:rsidRPr="00722E97">
          <w:rPr>
            <w:rStyle w:val="Hyperlink"/>
          </w:rPr>
          <w:t>https://www.nwcg.gov/committees/interagency-aerial-ignition-unit</w:t>
        </w:r>
      </w:hyperlink>
    </w:p>
    <w:p w14:paraId="0C4B143F" w14:textId="0D405052" w:rsidR="00722E97" w:rsidRDefault="00722E97" w:rsidP="00722E97">
      <w:pPr>
        <w:pStyle w:val="BodyText"/>
        <w:numPr>
          <w:ilvl w:val="0"/>
          <w:numId w:val="27"/>
        </w:numPr>
      </w:pPr>
      <w:r>
        <w:t xml:space="preserve">DOT Concerns and Transportation Requirements </w:t>
      </w:r>
    </w:p>
    <w:p w14:paraId="37545B67" w14:textId="77777777" w:rsidR="00722E97" w:rsidRDefault="00722E97" w:rsidP="00722E97">
      <w:pPr>
        <w:pStyle w:val="BodyText"/>
        <w:numPr>
          <w:ilvl w:val="0"/>
          <w:numId w:val="28"/>
        </w:numPr>
      </w:pPr>
      <w:r>
        <w:t>Aerial Ignition Standards and Guidelines</w:t>
      </w:r>
    </w:p>
    <w:p w14:paraId="3A433FD5" w14:textId="77777777" w:rsidR="00722E97" w:rsidRDefault="00722E97" w:rsidP="00722E97">
      <w:pPr>
        <w:pStyle w:val="BodyText"/>
        <w:numPr>
          <w:ilvl w:val="0"/>
          <w:numId w:val="28"/>
        </w:numPr>
      </w:pPr>
      <w:r>
        <w:t>Compliance Criteria</w:t>
      </w:r>
    </w:p>
    <w:p w14:paraId="40F497CF" w14:textId="77777777" w:rsidR="00722E97" w:rsidRDefault="00722E97" w:rsidP="00722E97">
      <w:pPr>
        <w:pStyle w:val="BodyText"/>
        <w:numPr>
          <w:ilvl w:val="0"/>
          <w:numId w:val="28"/>
        </w:numPr>
      </w:pPr>
      <w:r>
        <w:t>Helitorch Tanks/Barrel Compliance</w:t>
      </w:r>
    </w:p>
    <w:p w14:paraId="0270BA58" w14:textId="77777777" w:rsidR="00722E97" w:rsidRDefault="00722E97" w:rsidP="00722E97">
      <w:pPr>
        <w:pStyle w:val="BodyText"/>
        <w:numPr>
          <w:ilvl w:val="0"/>
          <w:numId w:val="28"/>
        </w:numPr>
      </w:pPr>
      <w:r>
        <w:t>Helitorch Operational Criteria</w:t>
      </w:r>
    </w:p>
    <w:p w14:paraId="39A962CA" w14:textId="77777777" w:rsidR="00722E97" w:rsidRDefault="00722E97" w:rsidP="00722E97">
      <w:pPr>
        <w:pStyle w:val="BodyText"/>
        <w:numPr>
          <w:ilvl w:val="0"/>
          <w:numId w:val="28"/>
        </w:numPr>
      </w:pPr>
      <w:r>
        <w:t>Helitorch Operational Training Criteria</w:t>
      </w:r>
    </w:p>
    <w:p w14:paraId="4F28059C" w14:textId="7EDBD7C4" w:rsidR="00722E97" w:rsidRDefault="00722E97" w:rsidP="00722E97">
      <w:pPr>
        <w:pStyle w:val="BodyText"/>
        <w:numPr>
          <w:ilvl w:val="0"/>
          <w:numId w:val="28"/>
        </w:numPr>
      </w:pPr>
      <w:r>
        <w:t>Transporting Class 3 Flammable Liquids</w:t>
      </w:r>
    </w:p>
    <w:p w14:paraId="4D6C0CA2" w14:textId="77777777" w:rsidR="00722E97" w:rsidRDefault="00722E97" w:rsidP="00722E97">
      <w:pPr>
        <w:pStyle w:val="BodyText"/>
        <w:numPr>
          <w:ilvl w:val="0"/>
          <w:numId w:val="27"/>
        </w:numPr>
      </w:pPr>
      <w:r>
        <w:t>Mix Transfer System Drum Configuration</w:t>
      </w:r>
    </w:p>
    <w:p w14:paraId="452D9052" w14:textId="77777777" w:rsidR="00722E97" w:rsidRDefault="00722E97" w:rsidP="00722E97">
      <w:pPr>
        <w:pStyle w:val="BodyText"/>
        <w:numPr>
          <w:ilvl w:val="0"/>
          <w:numId w:val="27"/>
        </w:numPr>
      </w:pPr>
      <w:r>
        <w:t>Simplex 5400 and Fire Spec 2000 Helitorch Configuration</w:t>
      </w:r>
    </w:p>
    <w:p w14:paraId="00068218" w14:textId="77777777" w:rsidR="00722E97" w:rsidRDefault="00722E97" w:rsidP="00722E97">
      <w:pPr>
        <w:pStyle w:val="BodyText"/>
        <w:numPr>
          <w:ilvl w:val="0"/>
          <w:numId w:val="27"/>
        </w:numPr>
      </w:pPr>
      <w:r>
        <w:t>Helitorch Inspection Checklist</w:t>
      </w:r>
    </w:p>
    <w:p w14:paraId="14B98034" w14:textId="77777777" w:rsidR="00722E97" w:rsidRDefault="00722E97" w:rsidP="00722E97">
      <w:pPr>
        <w:pStyle w:val="BodyText"/>
        <w:numPr>
          <w:ilvl w:val="0"/>
          <w:numId w:val="27"/>
        </w:numPr>
      </w:pPr>
      <w:r>
        <w:t>Batch Mixer Inspection Checklist</w:t>
      </w:r>
    </w:p>
    <w:p w14:paraId="686AB4A4" w14:textId="2B78082F" w:rsidR="00722E97" w:rsidRDefault="00722E97" w:rsidP="00722E97">
      <w:pPr>
        <w:pStyle w:val="BodyText"/>
        <w:numPr>
          <w:ilvl w:val="0"/>
          <w:numId w:val="27"/>
        </w:numPr>
        <w:rPr>
          <w:b/>
          <w:bCs/>
          <w:sz w:val="36"/>
          <w:szCs w:val="32"/>
        </w:rPr>
      </w:pPr>
      <w:r>
        <w:t>Mix-Transfer System Inspection Checklist</w:t>
      </w:r>
      <w:r>
        <w:br w:type="page"/>
      </w:r>
    </w:p>
    <w:p w14:paraId="143DC626" w14:textId="7AFB52B5" w:rsidR="000276E2" w:rsidRDefault="000276E2" w:rsidP="000276E2">
      <w:pPr>
        <w:pStyle w:val="Heading2"/>
        <w:jc w:val="center"/>
      </w:pPr>
      <w:r>
        <w:lastRenderedPageBreak/>
        <w:t>Aerial Ignition Standards and Guidelines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  <w:tblCaption w:val="Aerial Ignition Standards and Guidelines"/>
        <w:tblDescription w:val="Aerial Ignition Standards and Guidelines barrels or tanks less than 119 gallons and greater than 119 gallons and how they are marked, labeles color or sealed."/>
      </w:tblPr>
      <w:tblGrid>
        <w:gridCol w:w="1710"/>
        <w:gridCol w:w="3680"/>
        <w:gridCol w:w="3970"/>
      </w:tblGrid>
      <w:tr w:rsidR="000276E2" w14:paraId="20D54320" w14:textId="77777777" w:rsidTr="009A4577">
        <w:tc>
          <w:tcPr>
            <w:tcW w:w="1710" w:type="dxa"/>
          </w:tcPr>
          <w:p w14:paraId="20E75083" w14:textId="77777777" w:rsidR="000276E2" w:rsidRDefault="000276E2" w:rsidP="0030548B">
            <w:pPr>
              <w:pStyle w:val="BodyText"/>
            </w:pPr>
          </w:p>
        </w:tc>
        <w:tc>
          <w:tcPr>
            <w:tcW w:w="3680" w:type="dxa"/>
          </w:tcPr>
          <w:p w14:paraId="6508679C" w14:textId="77777777" w:rsidR="000276E2" w:rsidRPr="004C2202" w:rsidRDefault="000276E2" w:rsidP="0030548B">
            <w:pPr>
              <w:pStyle w:val="BodyText"/>
              <w:rPr>
                <w:b/>
              </w:rPr>
            </w:pPr>
            <w:r w:rsidRPr="004C2202">
              <w:rPr>
                <w:b/>
              </w:rPr>
              <w:t>Barrels or Tanks</w:t>
            </w:r>
          </w:p>
          <w:p w14:paraId="0E7BCA74" w14:textId="77777777" w:rsidR="000276E2" w:rsidRPr="004C2202" w:rsidRDefault="000276E2" w:rsidP="0030548B">
            <w:pPr>
              <w:pStyle w:val="BodyText"/>
              <w:rPr>
                <w:b/>
              </w:rPr>
            </w:pPr>
            <w:r w:rsidRPr="004C2202">
              <w:rPr>
                <w:b/>
              </w:rPr>
              <w:t>Less than 119 gallons</w:t>
            </w:r>
          </w:p>
        </w:tc>
        <w:tc>
          <w:tcPr>
            <w:tcW w:w="3970" w:type="dxa"/>
          </w:tcPr>
          <w:p w14:paraId="3E128481" w14:textId="77777777" w:rsidR="000276E2" w:rsidRPr="004C2202" w:rsidRDefault="000276E2" w:rsidP="0030548B">
            <w:pPr>
              <w:pStyle w:val="BodyText"/>
              <w:rPr>
                <w:b/>
              </w:rPr>
            </w:pPr>
            <w:r w:rsidRPr="004C2202">
              <w:rPr>
                <w:b/>
              </w:rPr>
              <w:t>Tanks</w:t>
            </w:r>
          </w:p>
          <w:p w14:paraId="677223D3" w14:textId="77777777" w:rsidR="000276E2" w:rsidRDefault="000276E2" w:rsidP="0030548B">
            <w:pPr>
              <w:pStyle w:val="BodyText"/>
            </w:pPr>
            <w:r w:rsidRPr="004C2202">
              <w:rPr>
                <w:b/>
              </w:rPr>
              <w:t>119 gallons or greater</w:t>
            </w:r>
          </w:p>
        </w:tc>
      </w:tr>
      <w:tr w:rsidR="000276E2" w14:paraId="7BD8313D" w14:textId="77777777" w:rsidTr="004C2202">
        <w:trPr>
          <w:trHeight w:val="1250"/>
        </w:trPr>
        <w:tc>
          <w:tcPr>
            <w:tcW w:w="1710" w:type="dxa"/>
          </w:tcPr>
          <w:p w14:paraId="307CE490" w14:textId="77777777" w:rsidR="000276E2" w:rsidRPr="000276E2" w:rsidRDefault="000276E2" w:rsidP="0030548B">
            <w:pPr>
              <w:pStyle w:val="BodyText"/>
              <w:rPr>
                <w:b/>
              </w:rPr>
            </w:pPr>
            <w:r w:rsidRPr="000276E2">
              <w:rPr>
                <w:b/>
              </w:rPr>
              <w:t>Markings</w:t>
            </w:r>
          </w:p>
        </w:tc>
        <w:tc>
          <w:tcPr>
            <w:tcW w:w="3680" w:type="dxa"/>
          </w:tcPr>
          <w:p w14:paraId="42593C28" w14:textId="77777777" w:rsidR="000276E2" w:rsidRDefault="000276E2" w:rsidP="004C2202">
            <w:pPr>
              <w:pStyle w:val="BodyText"/>
            </w:pPr>
            <w:r>
              <w:t>Tested and marked with DOT Performance Orientated Packaging Rating (POP) that usually starts with a UN1A1 or UN1A2 designation or has appropriate DOT designation.</w:t>
            </w:r>
          </w:p>
        </w:tc>
        <w:tc>
          <w:tcPr>
            <w:tcW w:w="3970" w:type="dxa"/>
          </w:tcPr>
          <w:p w14:paraId="7465AE2F" w14:textId="77777777" w:rsidR="000276E2" w:rsidRDefault="000276E2" w:rsidP="004C2202">
            <w:pPr>
              <w:pStyle w:val="BodyText"/>
            </w:pPr>
            <w:r>
              <w:t>Bulk Tank specification plate (MC306 or DOT406) or IBC.</w:t>
            </w:r>
          </w:p>
        </w:tc>
      </w:tr>
      <w:tr w:rsidR="000276E2" w14:paraId="19A3DBCB" w14:textId="77777777" w:rsidTr="004C2202">
        <w:tc>
          <w:tcPr>
            <w:tcW w:w="1710" w:type="dxa"/>
          </w:tcPr>
          <w:p w14:paraId="2FE5EE37" w14:textId="77777777" w:rsidR="000276E2" w:rsidRPr="000276E2" w:rsidRDefault="000276E2" w:rsidP="0030548B">
            <w:pPr>
              <w:pStyle w:val="BodyText"/>
              <w:rPr>
                <w:b/>
              </w:rPr>
            </w:pPr>
            <w:r w:rsidRPr="000276E2">
              <w:rPr>
                <w:b/>
              </w:rPr>
              <w:t>Label</w:t>
            </w:r>
          </w:p>
        </w:tc>
        <w:tc>
          <w:tcPr>
            <w:tcW w:w="3680" w:type="dxa"/>
          </w:tcPr>
          <w:p w14:paraId="22F093F7" w14:textId="77777777" w:rsidR="000276E2" w:rsidRDefault="000276E2" w:rsidP="004C2202">
            <w:pPr>
              <w:pStyle w:val="BodyText"/>
            </w:pPr>
            <w:r>
              <w:t>Labeled as “FLAMMABLE LIQUID” and marked “UN1203 – GASOLINE”.</w:t>
            </w:r>
          </w:p>
        </w:tc>
        <w:tc>
          <w:tcPr>
            <w:tcW w:w="3970" w:type="dxa"/>
          </w:tcPr>
          <w:p w14:paraId="0269385C" w14:textId="77777777" w:rsidR="000276E2" w:rsidRDefault="000276E2" w:rsidP="004C2202">
            <w:pPr>
              <w:pStyle w:val="BodyText"/>
            </w:pPr>
            <w:r>
              <w:t>Placarded as “FLAMMABLE LIQUID” and Marked “UN1203”</w:t>
            </w:r>
          </w:p>
        </w:tc>
      </w:tr>
      <w:tr w:rsidR="000276E2" w14:paraId="39BC0ADA" w14:textId="77777777" w:rsidTr="004C2202">
        <w:tc>
          <w:tcPr>
            <w:tcW w:w="1710" w:type="dxa"/>
          </w:tcPr>
          <w:p w14:paraId="3E33C155" w14:textId="77777777" w:rsidR="000276E2" w:rsidRPr="000276E2" w:rsidRDefault="000276E2" w:rsidP="0030548B">
            <w:pPr>
              <w:pStyle w:val="BodyText"/>
              <w:rPr>
                <w:b/>
              </w:rPr>
            </w:pPr>
            <w:r w:rsidRPr="000276E2">
              <w:rPr>
                <w:b/>
              </w:rPr>
              <w:t>Color</w:t>
            </w:r>
          </w:p>
        </w:tc>
        <w:tc>
          <w:tcPr>
            <w:tcW w:w="3680" w:type="dxa"/>
          </w:tcPr>
          <w:p w14:paraId="628CA867" w14:textId="77777777" w:rsidR="000276E2" w:rsidRDefault="000276E2" w:rsidP="004C2202">
            <w:pPr>
              <w:pStyle w:val="BodyText"/>
            </w:pPr>
            <w:r>
              <w:t>Painted RED.</w:t>
            </w:r>
          </w:p>
        </w:tc>
        <w:tc>
          <w:tcPr>
            <w:tcW w:w="3970" w:type="dxa"/>
          </w:tcPr>
          <w:p w14:paraId="49255F0B" w14:textId="77777777" w:rsidR="000276E2" w:rsidRDefault="000276E2" w:rsidP="004C2202">
            <w:pPr>
              <w:pStyle w:val="BodyText"/>
            </w:pPr>
            <w:r>
              <w:t>No color requirement.</w:t>
            </w:r>
          </w:p>
        </w:tc>
      </w:tr>
      <w:tr w:rsidR="000276E2" w14:paraId="6AE33136" w14:textId="77777777" w:rsidTr="004C2202">
        <w:tc>
          <w:tcPr>
            <w:tcW w:w="1710" w:type="dxa"/>
          </w:tcPr>
          <w:p w14:paraId="7DF92F93" w14:textId="77777777" w:rsidR="000276E2" w:rsidRPr="000276E2" w:rsidRDefault="000276E2" w:rsidP="0030548B">
            <w:pPr>
              <w:pStyle w:val="BodyText"/>
              <w:rPr>
                <w:b/>
              </w:rPr>
            </w:pPr>
            <w:r w:rsidRPr="000276E2">
              <w:rPr>
                <w:b/>
              </w:rPr>
              <w:t>Sealed</w:t>
            </w:r>
          </w:p>
        </w:tc>
        <w:tc>
          <w:tcPr>
            <w:tcW w:w="3680" w:type="dxa"/>
          </w:tcPr>
          <w:p w14:paraId="1857FF7B" w14:textId="41417FEA" w:rsidR="000276E2" w:rsidRDefault="000276E2" w:rsidP="004C2202">
            <w:pPr>
              <w:pStyle w:val="BodyText"/>
            </w:pPr>
            <w:r>
              <w:t>Designed so that there is no leakage in case of rollover or accident.</w:t>
            </w:r>
          </w:p>
          <w:p w14:paraId="68B1B41C" w14:textId="7D79FD8B" w:rsidR="000276E2" w:rsidRDefault="000276E2" w:rsidP="004C2202">
            <w:pPr>
              <w:pStyle w:val="BodyText"/>
            </w:pPr>
            <w:r>
              <w:t>Not filled over 90% of volume.</w:t>
            </w:r>
          </w:p>
          <w:p w14:paraId="2BC9D0BD" w14:textId="1C877D9C" w:rsidR="000276E2" w:rsidRDefault="000276E2" w:rsidP="004C2202">
            <w:pPr>
              <w:pStyle w:val="BodyText"/>
            </w:pPr>
            <w:r>
              <w:t xml:space="preserve">DOT approved Vacuum / Pressure Bypass valve </w:t>
            </w:r>
            <w:r>
              <w:rPr>
                <w:u w:val="single"/>
              </w:rPr>
              <w:t>NOT PERMITTED</w:t>
            </w:r>
            <w:r>
              <w:t xml:space="preserve"> during transport (unless approved to POP standards).</w:t>
            </w:r>
          </w:p>
          <w:p w14:paraId="219C3A79" w14:textId="735A38EA" w:rsidR="000276E2" w:rsidRDefault="000276E2" w:rsidP="004C2202">
            <w:pPr>
              <w:pStyle w:val="BodyText"/>
            </w:pPr>
            <w:r>
              <w:t xml:space="preserve">DOT approved Vacuum / Pressure Bypass valve </w:t>
            </w:r>
            <w:r>
              <w:rPr>
                <w:u w:val="single"/>
              </w:rPr>
              <w:t xml:space="preserve">REQUIRED </w:t>
            </w:r>
            <w:r>
              <w:t>during use and storage.</w:t>
            </w:r>
          </w:p>
          <w:p w14:paraId="017BF885" w14:textId="77777777" w:rsidR="000276E2" w:rsidRDefault="000276E2" w:rsidP="004C2202">
            <w:pPr>
              <w:pStyle w:val="BodyText"/>
            </w:pPr>
            <w:r>
              <w:t>Shut off valves are protected and not protruding from the vehicle.</w:t>
            </w:r>
          </w:p>
        </w:tc>
        <w:tc>
          <w:tcPr>
            <w:tcW w:w="3970" w:type="dxa"/>
          </w:tcPr>
          <w:p w14:paraId="0781851A" w14:textId="49D4A3CA" w:rsidR="000276E2" w:rsidRDefault="000276E2" w:rsidP="004C2202">
            <w:pPr>
              <w:pStyle w:val="BodyText"/>
            </w:pPr>
            <w:r>
              <w:t>Designed so that there is no leakage in case of rollover or accident.</w:t>
            </w:r>
          </w:p>
          <w:p w14:paraId="26F2F59A" w14:textId="5050EF24" w:rsidR="000276E2" w:rsidRDefault="000276E2" w:rsidP="004C2202">
            <w:pPr>
              <w:pStyle w:val="BodyText"/>
            </w:pPr>
            <w:r>
              <w:t>Shut-off valves that are protected and not protruding from the vehicle.</w:t>
            </w:r>
          </w:p>
          <w:p w14:paraId="065F0C6E" w14:textId="1059F123" w:rsidR="000276E2" w:rsidRDefault="000276E2" w:rsidP="004C2202">
            <w:pPr>
              <w:pStyle w:val="BodyText"/>
            </w:pPr>
            <w:r>
              <w:t>Have appropriate fittings to accommodate bypass for vacuum and pressure (must meet DOT and NFPA Tank Standards).</w:t>
            </w:r>
          </w:p>
          <w:p w14:paraId="076C9029" w14:textId="77777777" w:rsidR="000276E2" w:rsidRDefault="000276E2" w:rsidP="004C2202">
            <w:pPr>
              <w:pStyle w:val="BodyText"/>
            </w:pPr>
            <w:r>
              <w:t>Have appropriate fittings to accommodate vapor removal or recovery.</w:t>
            </w:r>
          </w:p>
        </w:tc>
      </w:tr>
      <w:tr w:rsidR="000276E2" w14:paraId="15D03C51" w14:textId="77777777" w:rsidTr="004C2202">
        <w:trPr>
          <w:trHeight w:val="1790"/>
        </w:trPr>
        <w:tc>
          <w:tcPr>
            <w:tcW w:w="1710" w:type="dxa"/>
          </w:tcPr>
          <w:p w14:paraId="28E3C6ED" w14:textId="77777777" w:rsidR="000276E2" w:rsidRPr="000276E2" w:rsidRDefault="000276E2" w:rsidP="0030548B">
            <w:pPr>
              <w:pStyle w:val="BodyText"/>
              <w:rPr>
                <w:b/>
              </w:rPr>
            </w:pPr>
            <w:r w:rsidRPr="000276E2">
              <w:rPr>
                <w:b/>
              </w:rPr>
              <w:t xml:space="preserve">Filling </w:t>
            </w:r>
          </w:p>
        </w:tc>
        <w:tc>
          <w:tcPr>
            <w:tcW w:w="3680" w:type="dxa"/>
          </w:tcPr>
          <w:p w14:paraId="23A13562" w14:textId="3E073493" w:rsidR="000276E2" w:rsidRDefault="000276E2" w:rsidP="004C2202">
            <w:pPr>
              <w:pStyle w:val="BodyText"/>
            </w:pPr>
            <w:r>
              <w:t>Vapor control required either by removal or recovery.</w:t>
            </w:r>
          </w:p>
          <w:p w14:paraId="7A89C2CB" w14:textId="77777777" w:rsidR="000276E2" w:rsidRDefault="000276E2" w:rsidP="004C2202">
            <w:pPr>
              <w:pStyle w:val="BodyText"/>
            </w:pPr>
            <w:r>
              <w:t>For tanks over 60 gallons, fill spout extends within 6 inches of bottom.  Splash filling not permitted.</w:t>
            </w:r>
          </w:p>
        </w:tc>
        <w:tc>
          <w:tcPr>
            <w:tcW w:w="3970" w:type="dxa"/>
          </w:tcPr>
          <w:p w14:paraId="15BABBC0" w14:textId="324CAC66" w:rsidR="000276E2" w:rsidRDefault="000276E2" w:rsidP="004C2202">
            <w:pPr>
              <w:pStyle w:val="BodyText"/>
            </w:pPr>
            <w:r>
              <w:t>Vapor control required either by removal or recovery.</w:t>
            </w:r>
          </w:p>
          <w:p w14:paraId="37C18320" w14:textId="77777777" w:rsidR="000276E2" w:rsidRDefault="000276E2" w:rsidP="004C2202">
            <w:pPr>
              <w:pStyle w:val="BodyText"/>
            </w:pPr>
            <w:r>
              <w:t>Fill spout extends within 6 inches of bottom.  Splash filling not permitted.  Bottom filling configuration is the preferred method.</w:t>
            </w:r>
          </w:p>
        </w:tc>
      </w:tr>
      <w:tr w:rsidR="000276E2" w14:paraId="1CCABDFC" w14:textId="77777777" w:rsidTr="004C2202">
        <w:trPr>
          <w:trHeight w:val="1250"/>
        </w:trPr>
        <w:tc>
          <w:tcPr>
            <w:tcW w:w="1710" w:type="dxa"/>
          </w:tcPr>
          <w:p w14:paraId="70A6B329" w14:textId="77777777" w:rsidR="000276E2" w:rsidRPr="000276E2" w:rsidRDefault="000276E2" w:rsidP="0030548B">
            <w:pPr>
              <w:pStyle w:val="BodyText"/>
              <w:rPr>
                <w:b/>
              </w:rPr>
            </w:pPr>
            <w:r w:rsidRPr="000276E2">
              <w:rPr>
                <w:b/>
              </w:rPr>
              <w:t>Delivery and Static Control</w:t>
            </w:r>
          </w:p>
        </w:tc>
        <w:tc>
          <w:tcPr>
            <w:tcW w:w="3680" w:type="dxa"/>
          </w:tcPr>
          <w:p w14:paraId="46340D87" w14:textId="77777777" w:rsidR="000276E2" w:rsidRDefault="000276E2" w:rsidP="004C2202">
            <w:pPr>
              <w:pStyle w:val="BodyText"/>
            </w:pPr>
            <w:r>
              <w:t>Have approved (DOT, NFPA and within the scope of OSHA 29CFR 1910.106) petroleum fuel dispensing and vapor recovery / removal hoses and static bonding wire.</w:t>
            </w:r>
          </w:p>
        </w:tc>
        <w:tc>
          <w:tcPr>
            <w:tcW w:w="3970" w:type="dxa"/>
          </w:tcPr>
          <w:p w14:paraId="55F7C198" w14:textId="77777777" w:rsidR="000276E2" w:rsidRDefault="000276E2" w:rsidP="004C2202">
            <w:pPr>
              <w:pStyle w:val="BodyText"/>
            </w:pPr>
            <w:r>
              <w:t>Have approved (DOT, NFPA and within the scope of OSHA 29CFR 1910.106) petroleum fuel dispensing and vapor recovery / removal hoses and static bonding wire.</w:t>
            </w:r>
          </w:p>
        </w:tc>
      </w:tr>
      <w:tr w:rsidR="000276E2" w14:paraId="1D6CA9FD" w14:textId="77777777" w:rsidTr="004C2202">
        <w:trPr>
          <w:trHeight w:val="2131"/>
        </w:trPr>
        <w:tc>
          <w:tcPr>
            <w:tcW w:w="1710" w:type="dxa"/>
          </w:tcPr>
          <w:p w14:paraId="28E73741" w14:textId="77777777" w:rsidR="000276E2" w:rsidRPr="000276E2" w:rsidRDefault="000276E2" w:rsidP="0030548B">
            <w:pPr>
              <w:pStyle w:val="BodyText"/>
              <w:rPr>
                <w:b/>
              </w:rPr>
            </w:pPr>
            <w:r w:rsidRPr="000276E2">
              <w:rPr>
                <w:b/>
              </w:rPr>
              <w:lastRenderedPageBreak/>
              <w:t>Thickening Agents</w:t>
            </w:r>
          </w:p>
        </w:tc>
        <w:tc>
          <w:tcPr>
            <w:tcW w:w="3680" w:type="dxa"/>
          </w:tcPr>
          <w:p w14:paraId="493F6FC3" w14:textId="77777777" w:rsidR="000276E2" w:rsidRDefault="000276E2" w:rsidP="004C2202">
            <w:pPr>
              <w:pStyle w:val="BodyText"/>
            </w:pPr>
            <w:r>
              <w:t>A written procedure for dispensing thickening agent to comply with OSHA general requirements for minimizing inhalation / exposure as listed on the chemical’s Safety Data</w:t>
            </w:r>
          </w:p>
          <w:p w14:paraId="21AF59B1" w14:textId="77777777" w:rsidR="000276E2" w:rsidRDefault="000276E2" w:rsidP="004C2202">
            <w:pPr>
              <w:pStyle w:val="BodyText"/>
            </w:pPr>
            <w:r>
              <w:t>Sheet.  Dumping powder through manhole is not acceptable, use appropriate dispensing mechanism for dispensing powder.</w:t>
            </w:r>
          </w:p>
        </w:tc>
        <w:tc>
          <w:tcPr>
            <w:tcW w:w="3970" w:type="dxa"/>
          </w:tcPr>
          <w:p w14:paraId="5F10AA93" w14:textId="77777777" w:rsidR="000276E2" w:rsidRDefault="000276E2" w:rsidP="004C2202">
            <w:pPr>
              <w:pStyle w:val="BodyText"/>
            </w:pPr>
            <w:r>
              <w:t>A written procedure for dispensing thickening agent to comply with OSHA general requirements for minimizing inhalation / exposure as listed on the chemical’s Safety Data Sheet.  Dumping powder through manhole is not acceptable, use appropriate dispensing mechanism for dispensing powder.</w:t>
            </w:r>
          </w:p>
        </w:tc>
      </w:tr>
    </w:tbl>
    <w:p w14:paraId="1875763C" w14:textId="77777777" w:rsidR="00722E97" w:rsidRDefault="00722E97">
      <w:pPr>
        <w:rPr>
          <w:rFonts w:eastAsia="Times New Roman"/>
          <w:b/>
          <w:bCs/>
          <w:sz w:val="36"/>
          <w:szCs w:val="32"/>
        </w:rPr>
      </w:pPr>
      <w:r>
        <w:br w:type="page"/>
      </w:r>
    </w:p>
    <w:p w14:paraId="5CEC7F2B" w14:textId="13DE99EF" w:rsidR="0030548B" w:rsidRDefault="0030548B" w:rsidP="0030548B">
      <w:pPr>
        <w:pStyle w:val="Heading2"/>
        <w:jc w:val="center"/>
      </w:pPr>
      <w:r>
        <w:lastRenderedPageBreak/>
        <w:t>Compliance Criteria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  <w:tblCaption w:val="Compliance Criteria"/>
        <w:tblDescription w:val="Barrels or tanks less than 119 gallons and greater than 119 gallons inspection criteria."/>
      </w:tblPr>
      <w:tblGrid>
        <w:gridCol w:w="2580"/>
        <w:gridCol w:w="3170"/>
        <w:gridCol w:w="3549"/>
      </w:tblGrid>
      <w:tr w:rsidR="0030548B" w14:paraId="0169B5FE" w14:textId="77777777" w:rsidTr="009A4577">
        <w:trPr>
          <w:trHeight w:val="827"/>
          <w:jc w:val="center"/>
        </w:trPr>
        <w:tc>
          <w:tcPr>
            <w:tcW w:w="2580" w:type="dxa"/>
            <w:vAlign w:val="center"/>
          </w:tcPr>
          <w:p w14:paraId="77D77204" w14:textId="77777777" w:rsidR="0030548B" w:rsidRDefault="0030548B" w:rsidP="0030548B">
            <w:pPr>
              <w:pStyle w:val="BodyText"/>
            </w:pPr>
          </w:p>
        </w:tc>
        <w:tc>
          <w:tcPr>
            <w:tcW w:w="3170" w:type="dxa"/>
            <w:vAlign w:val="center"/>
          </w:tcPr>
          <w:p w14:paraId="1F3E0070" w14:textId="77777777" w:rsidR="0030548B" w:rsidRPr="0030548B" w:rsidRDefault="0030548B" w:rsidP="0030548B">
            <w:pPr>
              <w:pStyle w:val="BodyText"/>
              <w:rPr>
                <w:b/>
              </w:rPr>
            </w:pPr>
            <w:r w:rsidRPr="0030548B">
              <w:rPr>
                <w:b/>
              </w:rPr>
              <w:t>Barrels or Tanks</w:t>
            </w:r>
          </w:p>
          <w:p w14:paraId="28A37B44" w14:textId="77777777" w:rsidR="0030548B" w:rsidRPr="0030548B" w:rsidRDefault="0030548B" w:rsidP="0030548B">
            <w:pPr>
              <w:pStyle w:val="BodyText"/>
              <w:rPr>
                <w:b/>
              </w:rPr>
            </w:pPr>
            <w:r w:rsidRPr="0030548B">
              <w:rPr>
                <w:b/>
              </w:rPr>
              <w:t>Less than 119 gallons</w:t>
            </w:r>
          </w:p>
        </w:tc>
        <w:tc>
          <w:tcPr>
            <w:tcW w:w="3549" w:type="dxa"/>
            <w:vAlign w:val="center"/>
          </w:tcPr>
          <w:p w14:paraId="22BCAA7C" w14:textId="77777777" w:rsidR="0030548B" w:rsidRPr="0030548B" w:rsidRDefault="0030548B" w:rsidP="0030548B">
            <w:pPr>
              <w:pStyle w:val="BodyText"/>
              <w:rPr>
                <w:b/>
              </w:rPr>
            </w:pPr>
            <w:r w:rsidRPr="0030548B">
              <w:rPr>
                <w:b/>
              </w:rPr>
              <w:t>Tanks</w:t>
            </w:r>
          </w:p>
          <w:p w14:paraId="3AE5152A" w14:textId="77777777" w:rsidR="0030548B" w:rsidRPr="0030548B" w:rsidRDefault="0030548B" w:rsidP="0030548B">
            <w:pPr>
              <w:pStyle w:val="BodyText"/>
              <w:rPr>
                <w:b/>
              </w:rPr>
            </w:pPr>
            <w:r w:rsidRPr="0030548B">
              <w:rPr>
                <w:b/>
              </w:rPr>
              <w:t>119 gallons or greater</w:t>
            </w:r>
          </w:p>
        </w:tc>
      </w:tr>
      <w:tr w:rsidR="0030548B" w14:paraId="6EA603FC" w14:textId="77777777" w:rsidTr="009A4577">
        <w:trPr>
          <w:trHeight w:val="1070"/>
          <w:jc w:val="center"/>
        </w:trPr>
        <w:tc>
          <w:tcPr>
            <w:tcW w:w="2580" w:type="dxa"/>
          </w:tcPr>
          <w:p w14:paraId="4F777A8F" w14:textId="77777777" w:rsidR="0030548B" w:rsidRPr="0030548B" w:rsidRDefault="0030548B" w:rsidP="0030548B">
            <w:pPr>
              <w:pStyle w:val="BodyText"/>
              <w:rPr>
                <w:b/>
              </w:rPr>
            </w:pPr>
            <w:r w:rsidRPr="0030548B">
              <w:rPr>
                <w:b/>
              </w:rPr>
              <w:t>By March 1, 2001 and Annually Thereafter</w:t>
            </w:r>
          </w:p>
        </w:tc>
        <w:tc>
          <w:tcPr>
            <w:tcW w:w="3170" w:type="dxa"/>
          </w:tcPr>
          <w:p w14:paraId="35A59D03" w14:textId="77777777" w:rsidR="0030548B" w:rsidRDefault="0030548B" w:rsidP="0030548B">
            <w:pPr>
              <w:pStyle w:val="BodyText"/>
            </w:pPr>
            <w:r>
              <w:t xml:space="preserve">Visually inspect tanks yearly for degradation and compliance. </w:t>
            </w:r>
          </w:p>
        </w:tc>
        <w:tc>
          <w:tcPr>
            <w:tcW w:w="3549" w:type="dxa"/>
          </w:tcPr>
          <w:p w14:paraId="2D8551F6" w14:textId="77777777" w:rsidR="0030548B" w:rsidRDefault="0030548B" w:rsidP="0030548B">
            <w:pPr>
              <w:pStyle w:val="BodyText"/>
            </w:pPr>
            <w:r>
              <w:t>Visual Leak Inspection (VK) performed by DOT registered vendor.</w:t>
            </w:r>
          </w:p>
        </w:tc>
      </w:tr>
      <w:tr w:rsidR="0030548B" w14:paraId="4582502B" w14:textId="77777777" w:rsidTr="009A4577">
        <w:trPr>
          <w:trHeight w:val="1070"/>
          <w:jc w:val="center"/>
        </w:trPr>
        <w:tc>
          <w:tcPr>
            <w:tcW w:w="2580" w:type="dxa"/>
          </w:tcPr>
          <w:p w14:paraId="71F3CE88" w14:textId="77777777" w:rsidR="0030548B" w:rsidRPr="0030548B" w:rsidRDefault="0030548B" w:rsidP="0030548B">
            <w:pPr>
              <w:pStyle w:val="BodyText"/>
              <w:rPr>
                <w:b/>
              </w:rPr>
            </w:pPr>
            <w:r w:rsidRPr="0030548B">
              <w:rPr>
                <w:b/>
              </w:rPr>
              <w:t>By March 1, 2001 and Every 5 Years Thereafter</w:t>
            </w:r>
          </w:p>
        </w:tc>
        <w:tc>
          <w:tcPr>
            <w:tcW w:w="3170" w:type="dxa"/>
          </w:tcPr>
          <w:p w14:paraId="31473E81" w14:textId="77777777" w:rsidR="0030548B" w:rsidRDefault="0030548B" w:rsidP="0030548B">
            <w:pPr>
              <w:pStyle w:val="BodyText"/>
            </w:pPr>
            <w:r>
              <w:t>None.</w:t>
            </w:r>
          </w:p>
        </w:tc>
        <w:tc>
          <w:tcPr>
            <w:tcW w:w="3549" w:type="dxa"/>
          </w:tcPr>
          <w:p w14:paraId="1535A186" w14:textId="77777777" w:rsidR="0030548B" w:rsidRDefault="0030548B" w:rsidP="0030548B">
            <w:pPr>
              <w:pStyle w:val="BodyText"/>
            </w:pPr>
            <w:r>
              <w:t>Internal Pressure Test (IP) performed by DOT registered vendor.</w:t>
            </w:r>
          </w:p>
        </w:tc>
      </w:tr>
      <w:tr w:rsidR="0030548B" w14:paraId="10DD879A" w14:textId="77777777" w:rsidTr="009A4577">
        <w:trPr>
          <w:trHeight w:val="800"/>
          <w:jc w:val="center"/>
        </w:trPr>
        <w:tc>
          <w:tcPr>
            <w:tcW w:w="2580" w:type="dxa"/>
          </w:tcPr>
          <w:p w14:paraId="334A6E31" w14:textId="77777777" w:rsidR="0030548B" w:rsidRPr="0030548B" w:rsidRDefault="0030548B" w:rsidP="0030548B">
            <w:pPr>
              <w:pStyle w:val="BodyText"/>
              <w:rPr>
                <w:b/>
              </w:rPr>
            </w:pPr>
            <w:r w:rsidRPr="0030548B">
              <w:rPr>
                <w:b/>
              </w:rPr>
              <w:t xml:space="preserve">Post Inspection Labeling </w:t>
            </w:r>
          </w:p>
        </w:tc>
        <w:tc>
          <w:tcPr>
            <w:tcW w:w="3170" w:type="dxa"/>
          </w:tcPr>
          <w:p w14:paraId="49722F35" w14:textId="77777777" w:rsidR="0030548B" w:rsidRDefault="0030548B" w:rsidP="0030548B">
            <w:pPr>
              <w:pStyle w:val="BodyText"/>
            </w:pPr>
            <w:r>
              <w:t>None.</w:t>
            </w:r>
          </w:p>
        </w:tc>
        <w:tc>
          <w:tcPr>
            <w:tcW w:w="3549" w:type="dxa"/>
          </w:tcPr>
          <w:p w14:paraId="3C89E330" w14:textId="77777777" w:rsidR="0030548B" w:rsidRDefault="0030548B" w:rsidP="0030548B">
            <w:pPr>
              <w:pStyle w:val="BodyText"/>
            </w:pPr>
            <w:r>
              <w:t xml:space="preserve">Inspector will apply label with VK and IP expiration dates.  </w:t>
            </w:r>
          </w:p>
        </w:tc>
      </w:tr>
      <w:tr w:rsidR="0030548B" w14:paraId="6F91F6DC" w14:textId="77777777" w:rsidTr="009A4577">
        <w:trPr>
          <w:trHeight w:val="1430"/>
          <w:jc w:val="center"/>
        </w:trPr>
        <w:tc>
          <w:tcPr>
            <w:tcW w:w="2580" w:type="dxa"/>
          </w:tcPr>
          <w:p w14:paraId="1DA7C649" w14:textId="77777777" w:rsidR="0030548B" w:rsidRPr="0030548B" w:rsidRDefault="0030548B" w:rsidP="0030548B">
            <w:pPr>
              <w:pStyle w:val="BodyText"/>
              <w:rPr>
                <w:b/>
              </w:rPr>
            </w:pPr>
            <w:r w:rsidRPr="0030548B">
              <w:rPr>
                <w:b/>
              </w:rPr>
              <w:t>Tank Modification Criteria</w:t>
            </w:r>
          </w:p>
        </w:tc>
        <w:tc>
          <w:tcPr>
            <w:tcW w:w="3170" w:type="dxa"/>
          </w:tcPr>
          <w:p w14:paraId="486E9FDB" w14:textId="77777777" w:rsidR="0030548B" w:rsidRDefault="0030548B" w:rsidP="0030548B">
            <w:pPr>
              <w:pStyle w:val="BodyText"/>
            </w:pPr>
            <w:r>
              <w:t>None.</w:t>
            </w:r>
          </w:p>
        </w:tc>
        <w:tc>
          <w:tcPr>
            <w:tcW w:w="3549" w:type="dxa"/>
          </w:tcPr>
          <w:p w14:paraId="56F77D62" w14:textId="77777777" w:rsidR="0030548B" w:rsidRDefault="0030548B" w:rsidP="0030548B">
            <w:pPr>
              <w:pStyle w:val="BodyText"/>
            </w:pPr>
            <w:r>
              <w:t>Alteration of the (tank) original design specification (MC306 or DOT406) must be accomplished at DOT registered vendor.</w:t>
            </w:r>
          </w:p>
        </w:tc>
      </w:tr>
      <w:tr w:rsidR="0030548B" w14:paraId="02FEC09E" w14:textId="77777777" w:rsidTr="009A4577">
        <w:trPr>
          <w:trHeight w:val="980"/>
          <w:jc w:val="center"/>
        </w:trPr>
        <w:tc>
          <w:tcPr>
            <w:tcW w:w="2580" w:type="dxa"/>
          </w:tcPr>
          <w:p w14:paraId="4DB84318" w14:textId="77777777" w:rsidR="0030548B" w:rsidRPr="0030548B" w:rsidRDefault="0030548B" w:rsidP="0030548B">
            <w:pPr>
              <w:pStyle w:val="BodyText"/>
              <w:rPr>
                <w:b/>
              </w:rPr>
            </w:pPr>
            <w:r w:rsidRPr="0030548B">
              <w:rPr>
                <w:b/>
              </w:rPr>
              <w:t>Tank Modification</w:t>
            </w:r>
            <w:r w:rsidRPr="0030548B">
              <w:rPr>
                <w:b/>
              </w:rPr>
              <w:br/>
              <w:t>Inspections</w:t>
            </w:r>
          </w:p>
        </w:tc>
        <w:tc>
          <w:tcPr>
            <w:tcW w:w="3170" w:type="dxa"/>
          </w:tcPr>
          <w:p w14:paraId="30F2BC39" w14:textId="77777777" w:rsidR="0030548B" w:rsidRDefault="0030548B" w:rsidP="0030548B">
            <w:pPr>
              <w:pStyle w:val="BodyText"/>
            </w:pPr>
            <w:r>
              <w:t>If required, re-inspected by local Highway Patrol Hazmat enforcement officer.</w:t>
            </w:r>
          </w:p>
        </w:tc>
        <w:tc>
          <w:tcPr>
            <w:tcW w:w="3549" w:type="dxa"/>
          </w:tcPr>
          <w:p w14:paraId="6B2B9BA4" w14:textId="77777777" w:rsidR="0030548B" w:rsidRDefault="0030548B" w:rsidP="0030548B">
            <w:pPr>
              <w:pStyle w:val="BodyText"/>
            </w:pPr>
            <w:r>
              <w:t>Inspected by local Highway Patrol Hazmat enforcement officer.</w:t>
            </w:r>
          </w:p>
        </w:tc>
      </w:tr>
      <w:tr w:rsidR="0030548B" w14:paraId="5F84C223" w14:textId="77777777" w:rsidTr="009A4577">
        <w:trPr>
          <w:trHeight w:val="1610"/>
          <w:jc w:val="center"/>
        </w:trPr>
        <w:tc>
          <w:tcPr>
            <w:tcW w:w="2580" w:type="dxa"/>
          </w:tcPr>
          <w:p w14:paraId="02301F61" w14:textId="77777777" w:rsidR="0030548B" w:rsidRPr="0030548B" w:rsidRDefault="0030548B" w:rsidP="0030548B">
            <w:pPr>
              <w:pStyle w:val="BodyText"/>
              <w:rPr>
                <w:b/>
              </w:rPr>
            </w:pPr>
            <w:r w:rsidRPr="0030548B">
              <w:rPr>
                <w:b/>
              </w:rPr>
              <w:t xml:space="preserve">General </w:t>
            </w:r>
          </w:p>
        </w:tc>
        <w:tc>
          <w:tcPr>
            <w:tcW w:w="3170" w:type="dxa"/>
          </w:tcPr>
          <w:p w14:paraId="0B3085A4" w14:textId="77777777" w:rsidR="0030548B" w:rsidRDefault="0030548B" w:rsidP="0030548B">
            <w:pPr>
              <w:pStyle w:val="BodyText"/>
            </w:pPr>
            <w:r>
              <w:t>Compliance with STANDARDS and GUIDELINES.</w:t>
            </w:r>
          </w:p>
        </w:tc>
        <w:tc>
          <w:tcPr>
            <w:tcW w:w="3549" w:type="dxa"/>
          </w:tcPr>
          <w:p w14:paraId="54E8E63B" w14:textId="564CBC8D" w:rsidR="0030548B" w:rsidRDefault="0030548B" w:rsidP="0030548B">
            <w:pPr>
              <w:pStyle w:val="BodyText"/>
            </w:pPr>
            <w:r>
              <w:t>Permanent 2” cam lock fitting with recovery removal hose at least 50 feet in length and 2” in diameter.</w:t>
            </w:r>
          </w:p>
          <w:p w14:paraId="05D535FC" w14:textId="77777777" w:rsidR="0030548B" w:rsidRDefault="0030548B" w:rsidP="0030548B">
            <w:pPr>
              <w:pStyle w:val="BodyText"/>
            </w:pPr>
            <w:r>
              <w:t>Compliance with STANDARDS and GUIDELINES.</w:t>
            </w:r>
          </w:p>
        </w:tc>
      </w:tr>
      <w:tr w:rsidR="0030548B" w14:paraId="144A9F6B" w14:textId="77777777" w:rsidTr="009A4577">
        <w:trPr>
          <w:trHeight w:val="2131"/>
          <w:jc w:val="center"/>
        </w:trPr>
        <w:tc>
          <w:tcPr>
            <w:tcW w:w="2580" w:type="dxa"/>
          </w:tcPr>
          <w:p w14:paraId="03189E66" w14:textId="77777777" w:rsidR="0030548B" w:rsidRPr="0030548B" w:rsidRDefault="0030548B" w:rsidP="0030548B">
            <w:pPr>
              <w:pStyle w:val="BodyText"/>
              <w:rPr>
                <w:b/>
              </w:rPr>
            </w:pPr>
            <w:r w:rsidRPr="0030548B">
              <w:rPr>
                <w:b/>
              </w:rPr>
              <w:t>Compliance</w:t>
            </w:r>
          </w:p>
        </w:tc>
        <w:tc>
          <w:tcPr>
            <w:tcW w:w="3170" w:type="dxa"/>
          </w:tcPr>
          <w:p w14:paraId="62814ED3" w14:textId="5B5C767F" w:rsidR="0030548B" w:rsidRDefault="0030548B" w:rsidP="0030548B">
            <w:pPr>
              <w:pStyle w:val="BodyText"/>
            </w:pPr>
            <w:r>
              <w:t xml:space="preserve">Tanks and Barrels that do not comply with the STANDARDS and GUIDELINES and the COMPLIANCE CRITERIA, and which cannot be modified by a registered vendor to meet those requirements, shall be taken out of service no later </w:t>
            </w:r>
            <w:r w:rsidR="00407629">
              <w:t>than</w:t>
            </w:r>
            <w:r>
              <w:t xml:space="preserve"> March 1, 2001.</w:t>
            </w:r>
          </w:p>
        </w:tc>
        <w:tc>
          <w:tcPr>
            <w:tcW w:w="3549" w:type="dxa"/>
          </w:tcPr>
          <w:p w14:paraId="15B9CF19" w14:textId="48F5C701" w:rsidR="0030548B" w:rsidRDefault="0030548B" w:rsidP="0030548B">
            <w:pPr>
              <w:pStyle w:val="BodyText"/>
            </w:pPr>
            <w:r>
              <w:t xml:space="preserve">Tanks that do not comply with the STANDARDS and GUIDELINES and the COMPLIANCE CRITERIA, and which cannot be modified by a registered vendor to meet those requirements, shall be taken out of service no later </w:t>
            </w:r>
            <w:r w:rsidR="00407629">
              <w:t>than</w:t>
            </w:r>
            <w:r>
              <w:t xml:space="preserve"> March 1, 2001.</w:t>
            </w:r>
          </w:p>
        </w:tc>
      </w:tr>
    </w:tbl>
    <w:p w14:paraId="5ECE321E" w14:textId="309851FC" w:rsidR="0030548B" w:rsidRDefault="0030548B" w:rsidP="0030548B"/>
    <w:p w14:paraId="27657EC5" w14:textId="77777777" w:rsidR="0030548B" w:rsidRDefault="0030548B" w:rsidP="0030548B">
      <w:pPr>
        <w:pStyle w:val="Caption"/>
      </w:pPr>
      <w:r>
        <w:br w:type="page"/>
      </w:r>
    </w:p>
    <w:p w14:paraId="0FB53F83" w14:textId="37FAEAEB" w:rsidR="0030548B" w:rsidRPr="0030548B" w:rsidRDefault="0030548B" w:rsidP="0030548B">
      <w:pPr>
        <w:pStyle w:val="Heading2"/>
        <w:jc w:val="center"/>
        <w:rPr>
          <w:sz w:val="20"/>
        </w:rPr>
      </w:pPr>
      <w:r>
        <w:lastRenderedPageBreak/>
        <w:t>Helitorch Operational Criteria</w:t>
      </w:r>
    </w:p>
    <w:tbl>
      <w:tblPr>
        <w:tblpPr w:leftFromText="180" w:rightFromText="180" w:vertAnchor="text" w:horzAnchor="margin" w:tblpX="140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  <w:tblCaption w:val="Helitorch Operational Criteria"/>
        <w:tblDescription w:val="Barrels or tanks less than 199 gallons, helitorch filing or emptying, transportation of helitorch barrels, and transportation of non-complying helitorch barrels"/>
      </w:tblPr>
      <w:tblGrid>
        <w:gridCol w:w="2455"/>
        <w:gridCol w:w="6855"/>
      </w:tblGrid>
      <w:tr w:rsidR="0030548B" w14:paraId="4C1A6C0F" w14:textId="77777777" w:rsidTr="009A4577">
        <w:trPr>
          <w:trHeight w:val="534"/>
        </w:trPr>
        <w:tc>
          <w:tcPr>
            <w:tcW w:w="2455" w:type="dxa"/>
            <w:vAlign w:val="center"/>
          </w:tcPr>
          <w:p w14:paraId="37522C87" w14:textId="77777777" w:rsidR="0030548B" w:rsidRDefault="0030548B" w:rsidP="0030548B">
            <w:pPr>
              <w:pStyle w:val="BodyText"/>
            </w:pPr>
          </w:p>
        </w:tc>
        <w:tc>
          <w:tcPr>
            <w:tcW w:w="6855" w:type="dxa"/>
            <w:vAlign w:val="center"/>
          </w:tcPr>
          <w:p w14:paraId="668309C3" w14:textId="77777777" w:rsidR="0030548B" w:rsidRPr="0030548B" w:rsidRDefault="0030548B" w:rsidP="0030548B">
            <w:pPr>
              <w:pStyle w:val="BodyText"/>
              <w:rPr>
                <w:b/>
              </w:rPr>
            </w:pPr>
            <w:r w:rsidRPr="0030548B">
              <w:rPr>
                <w:b/>
              </w:rPr>
              <w:t>Barrels or Tanks Less Than 119 Gallons</w:t>
            </w:r>
          </w:p>
        </w:tc>
      </w:tr>
      <w:tr w:rsidR="0030548B" w14:paraId="54B01926" w14:textId="77777777" w:rsidTr="009A4577">
        <w:trPr>
          <w:trHeight w:val="1056"/>
        </w:trPr>
        <w:tc>
          <w:tcPr>
            <w:tcW w:w="2455" w:type="dxa"/>
          </w:tcPr>
          <w:p w14:paraId="2CB05CB5" w14:textId="77777777" w:rsidR="0030548B" w:rsidRPr="0030548B" w:rsidRDefault="0030548B" w:rsidP="0030548B">
            <w:pPr>
              <w:pStyle w:val="BodyText"/>
              <w:rPr>
                <w:b/>
              </w:rPr>
            </w:pPr>
            <w:r w:rsidRPr="0030548B">
              <w:rPr>
                <w:b/>
              </w:rPr>
              <w:t xml:space="preserve">Helitorch Filling or Emptying </w:t>
            </w:r>
          </w:p>
        </w:tc>
        <w:tc>
          <w:tcPr>
            <w:tcW w:w="6855" w:type="dxa"/>
            <w:vAlign w:val="center"/>
          </w:tcPr>
          <w:p w14:paraId="04E15CC1" w14:textId="30529DE8" w:rsidR="0030548B" w:rsidRDefault="0030548B" w:rsidP="0030548B">
            <w:pPr>
              <w:pStyle w:val="BodyText"/>
            </w:pPr>
            <w:r>
              <w:t xml:space="preserve">Vapors shall be recovered or routed down wind from the operation a distance of 50 feet using petroleum rated hose.  (Use 2-inch cam lock hose connected between the </w:t>
            </w:r>
            <w:r w:rsidR="00407629">
              <w:t>supplies</w:t>
            </w:r>
            <w:r>
              <w:t xml:space="preserve"> and receiving tanks.  Place cam lock plugs in hose and tanks fittings when not in use.</w:t>
            </w:r>
          </w:p>
        </w:tc>
      </w:tr>
      <w:tr w:rsidR="0030548B" w14:paraId="6EEA1EE1" w14:textId="77777777" w:rsidTr="009A4577">
        <w:trPr>
          <w:trHeight w:val="1893"/>
        </w:trPr>
        <w:tc>
          <w:tcPr>
            <w:tcW w:w="2455" w:type="dxa"/>
          </w:tcPr>
          <w:p w14:paraId="02C1BA20" w14:textId="77777777" w:rsidR="0030548B" w:rsidRPr="0030548B" w:rsidRDefault="0030548B" w:rsidP="0030548B">
            <w:pPr>
              <w:pStyle w:val="BodyText"/>
              <w:rPr>
                <w:b/>
              </w:rPr>
            </w:pPr>
            <w:r w:rsidRPr="0030548B">
              <w:rPr>
                <w:b/>
              </w:rPr>
              <w:t>Transportation of Helitorch Barrels</w:t>
            </w:r>
          </w:p>
        </w:tc>
        <w:tc>
          <w:tcPr>
            <w:tcW w:w="6855" w:type="dxa"/>
            <w:vAlign w:val="center"/>
          </w:tcPr>
          <w:p w14:paraId="7D152240" w14:textId="1F7ED7A1" w:rsidR="0030548B" w:rsidRPr="0030548B" w:rsidRDefault="0030548B" w:rsidP="0030548B">
            <w:pPr>
              <w:pStyle w:val="BodyText"/>
              <w:rPr>
                <w:sz w:val="22"/>
              </w:rPr>
            </w:pPr>
            <w:r>
              <w:t>Must be DOT approved and meet the STANDARDS and GUIDELINES.</w:t>
            </w:r>
          </w:p>
          <w:p w14:paraId="783B5A3B" w14:textId="65548365" w:rsidR="0030548B" w:rsidRPr="0030548B" w:rsidRDefault="0030548B" w:rsidP="0030548B">
            <w:pPr>
              <w:pStyle w:val="BodyText"/>
              <w:rPr>
                <w:sz w:val="22"/>
              </w:rPr>
            </w:pPr>
            <w:r>
              <w:t>Must be located in a protected area on the vehicle and securely fastened to prevent moving within the vehicle in case of accident or rollover.</w:t>
            </w:r>
          </w:p>
          <w:p w14:paraId="0F54952B" w14:textId="2F0E1000" w:rsidR="0030548B" w:rsidRPr="0030548B" w:rsidRDefault="0030548B" w:rsidP="0030548B">
            <w:pPr>
              <w:pStyle w:val="BodyText"/>
              <w:rPr>
                <w:sz w:val="22"/>
              </w:rPr>
            </w:pPr>
            <w:r>
              <w:t>Must contain less than 1 gallon of residual fuel.</w:t>
            </w:r>
          </w:p>
          <w:p w14:paraId="3AEB4606" w14:textId="77777777" w:rsidR="0030548B" w:rsidRDefault="0030548B" w:rsidP="0030548B">
            <w:pPr>
              <w:pStyle w:val="BodyText"/>
            </w:pPr>
            <w:r>
              <w:t xml:space="preserve">Must comply with local and state Highway Patrol Hazmat regulations. </w:t>
            </w:r>
          </w:p>
        </w:tc>
      </w:tr>
      <w:tr w:rsidR="0030548B" w14:paraId="0C178DA4" w14:textId="77777777" w:rsidTr="009A4577">
        <w:trPr>
          <w:trHeight w:val="4314"/>
        </w:trPr>
        <w:tc>
          <w:tcPr>
            <w:tcW w:w="2455" w:type="dxa"/>
          </w:tcPr>
          <w:p w14:paraId="26AFA19D" w14:textId="77777777" w:rsidR="0030548B" w:rsidRPr="0030548B" w:rsidRDefault="0030548B" w:rsidP="0030548B">
            <w:pPr>
              <w:pStyle w:val="BodyText"/>
              <w:rPr>
                <w:b/>
              </w:rPr>
            </w:pPr>
            <w:r w:rsidRPr="0030548B">
              <w:rPr>
                <w:b/>
              </w:rPr>
              <w:t>Transportation of</w:t>
            </w:r>
            <w:r w:rsidRPr="0030548B">
              <w:rPr>
                <w:b/>
              </w:rPr>
              <w:br/>
              <w:t>Non-Complying Helitorch Barrels</w:t>
            </w:r>
          </w:p>
          <w:p w14:paraId="3AD7D1E3" w14:textId="77777777" w:rsidR="0030548B" w:rsidRPr="0030548B" w:rsidRDefault="0030548B" w:rsidP="0030548B">
            <w:pPr>
              <w:pStyle w:val="BodyText"/>
              <w:rPr>
                <w:b/>
              </w:rPr>
            </w:pPr>
          </w:p>
        </w:tc>
        <w:tc>
          <w:tcPr>
            <w:tcW w:w="6855" w:type="dxa"/>
            <w:vAlign w:val="center"/>
          </w:tcPr>
          <w:p w14:paraId="663DF33E" w14:textId="0CB497C7" w:rsidR="0030548B" w:rsidRPr="004C048F" w:rsidRDefault="0030548B" w:rsidP="0030548B">
            <w:pPr>
              <w:pStyle w:val="BodyText"/>
              <w:rPr>
                <w:b/>
                <w:sz w:val="22"/>
              </w:rPr>
            </w:pPr>
            <w:r w:rsidRPr="004C048F">
              <w:rPr>
                <w:b/>
              </w:rPr>
              <w:t>All non-complying tanks and barrels should be inspected by state authorities (in most states this will be the state police) for approval prior to transportation.</w:t>
            </w:r>
          </w:p>
          <w:p w14:paraId="0C4EF789" w14:textId="1D8C0D10" w:rsidR="0030548B" w:rsidRPr="0030548B" w:rsidRDefault="0030548B" w:rsidP="0030548B">
            <w:pPr>
              <w:pStyle w:val="BodyText"/>
              <w:rPr>
                <w:sz w:val="22"/>
              </w:rPr>
            </w:pPr>
            <w:r w:rsidRPr="004C048F">
              <w:rPr>
                <w:b/>
              </w:rPr>
              <w:t>Without prior approvals, any citations issued by state authorities for lack of compliance are the responsibility of the driver of the vehicle.</w:t>
            </w:r>
          </w:p>
          <w:p w14:paraId="27987A48" w14:textId="0E6DC6C0" w:rsidR="0030548B" w:rsidRPr="004C048F" w:rsidRDefault="0030548B" w:rsidP="0030548B">
            <w:pPr>
              <w:pStyle w:val="BodyText"/>
              <w:rPr>
                <w:b/>
                <w:sz w:val="22"/>
                <w:u w:val="single"/>
              </w:rPr>
            </w:pPr>
            <w:r w:rsidRPr="004C048F">
              <w:rPr>
                <w:b/>
                <w:u w:val="single"/>
              </w:rPr>
              <w:t>All non-complying barrels and tanks must be disposed of by March 1, 2001, or taken out of service sooner if practical.</w:t>
            </w:r>
          </w:p>
          <w:p w14:paraId="1F1EFEDA" w14:textId="242308FA" w:rsidR="0030548B" w:rsidRPr="0030548B" w:rsidRDefault="0030548B" w:rsidP="0030548B">
            <w:pPr>
              <w:pStyle w:val="BodyText"/>
              <w:rPr>
                <w:sz w:val="22"/>
              </w:rPr>
            </w:pPr>
            <w:r>
              <w:t>Transportation of non-complying barrels may be accomplished by following GUIDELINES and STANDARDS for packaging, markings, securing and POP standards.</w:t>
            </w:r>
          </w:p>
          <w:p w14:paraId="0323B65C" w14:textId="58F5B2BE" w:rsidR="0030548B" w:rsidRDefault="0030548B" w:rsidP="0030548B">
            <w:pPr>
              <w:pStyle w:val="BodyText"/>
            </w:pPr>
            <w:r>
              <w:t xml:space="preserve">Non-complying barrels MUST be triple rinsed to insure </w:t>
            </w:r>
            <w:r>
              <w:rPr>
                <w:b/>
                <w:u w:val="single"/>
              </w:rPr>
              <w:t>no flammable residue or flammable vapors</w:t>
            </w:r>
            <w:r>
              <w:t xml:space="preserve"> are present.  Rinse liquid must be captured into an approved DOT container and may be used in a batch of gel, or disposed at an EPA approved Hazwaste disposal site or by hazardous material removal contractor.</w:t>
            </w:r>
          </w:p>
        </w:tc>
      </w:tr>
    </w:tbl>
    <w:p w14:paraId="37E13F6D" w14:textId="77777777" w:rsidR="00722E97" w:rsidRDefault="00722E97">
      <w:pPr>
        <w:rPr>
          <w:rFonts w:eastAsia="Times New Roman"/>
          <w:b/>
          <w:bCs/>
          <w:sz w:val="36"/>
          <w:szCs w:val="32"/>
        </w:rPr>
      </w:pPr>
      <w:r>
        <w:br w:type="page"/>
      </w:r>
    </w:p>
    <w:p w14:paraId="7FA8CE5F" w14:textId="77777777" w:rsidR="0030548B" w:rsidRDefault="0030548B" w:rsidP="0030548B">
      <w:pPr>
        <w:pStyle w:val="Heading2"/>
        <w:jc w:val="center"/>
      </w:pPr>
      <w:r>
        <w:lastRenderedPageBreak/>
        <w:t>Helitorch Operational Training Criteria</w:t>
      </w:r>
    </w:p>
    <w:p w14:paraId="0A020382" w14:textId="77777777" w:rsidR="0030548B" w:rsidRDefault="0030548B" w:rsidP="0030548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  <w:tblCaption w:val="Helitorch Operation Training Criteria"/>
        <w:tblDescription w:val="Training"/>
      </w:tblPr>
      <w:tblGrid>
        <w:gridCol w:w="1785"/>
        <w:gridCol w:w="7626"/>
      </w:tblGrid>
      <w:tr w:rsidR="0030548B" w14:paraId="20777446" w14:textId="77777777" w:rsidTr="0030548B">
        <w:trPr>
          <w:trHeight w:val="10853"/>
          <w:jc w:val="center"/>
        </w:trPr>
        <w:tc>
          <w:tcPr>
            <w:tcW w:w="1785" w:type="dxa"/>
          </w:tcPr>
          <w:p w14:paraId="0A27F804" w14:textId="4CA7D34A" w:rsidR="0030548B" w:rsidRPr="0030548B" w:rsidRDefault="0030548B" w:rsidP="0030548B">
            <w:pPr>
              <w:pStyle w:val="BodyText"/>
              <w:rPr>
                <w:b/>
              </w:rPr>
            </w:pPr>
            <w:r w:rsidRPr="0030548B">
              <w:rPr>
                <w:b/>
              </w:rPr>
              <w:t>Training</w:t>
            </w:r>
          </w:p>
        </w:tc>
        <w:tc>
          <w:tcPr>
            <w:tcW w:w="7626" w:type="dxa"/>
          </w:tcPr>
          <w:p w14:paraId="6D509E6A" w14:textId="2750C409" w:rsidR="0030548B" w:rsidRPr="0030548B" w:rsidRDefault="0030548B" w:rsidP="0030548B">
            <w:pPr>
              <w:pStyle w:val="BodyText"/>
              <w:rPr>
                <w:b/>
              </w:rPr>
            </w:pPr>
            <w:r w:rsidRPr="0030548B">
              <w:rPr>
                <w:b/>
              </w:rPr>
              <w:t>Written programs that apply and shall be in place under OSHA:</w:t>
            </w:r>
          </w:p>
          <w:p w14:paraId="74F4102D" w14:textId="37149C8A" w:rsidR="0030548B" w:rsidRDefault="0030548B" w:rsidP="0030548B">
            <w:pPr>
              <w:pStyle w:val="BodyText"/>
            </w:pPr>
            <w:r>
              <w:t xml:space="preserve">Right To Know – Hazardous Materials Awareness (Hazardous Waste and Toxic Substances) </w:t>
            </w:r>
          </w:p>
          <w:p w14:paraId="4F9CCF74" w14:textId="013B118E" w:rsidR="0030548B" w:rsidRDefault="0030548B" w:rsidP="0030548B">
            <w:pPr>
              <w:pStyle w:val="BodyText"/>
            </w:pPr>
            <w:r>
              <w:t>Safety Data Sheet compliance with dry and wet chemicals in use</w:t>
            </w:r>
          </w:p>
          <w:p w14:paraId="2B59F3EA" w14:textId="118DDEB7" w:rsidR="0030548B" w:rsidRDefault="0030548B" w:rsidP="0030548B">
            <w:pPr>
              <w:pStyle w:val="BodyText"/>
            </w:pPr>
            <w:r>
              <w:t>Personal Protective Equipment (PPE) for the chemicals in use</w:t>
            </w:r>
          </w:p>
          <w:p w14:paraId="56DC8910" w14:textId="3EFDDE12" w:rsidR="0030548B" w:rsidRDefault="0030548B" w:rsidP="0030548B">
            <w:pPr>
              <w:pStyle w:val="BodyText"/>
            </w:pPr>
            <w:r>
              <w:t>General Health and Safety Standards (1910)</w:t>
            </w:r>
          </w:p>
          <w:p w14:paraId="71D4441E" w14:textId="79382EA2" w:rsidR="0030548B" w:rsidRDefault="0030548B" w:rsidP="0030548B">
            <w:pPr>
              <w:pStyle w:val="BodyText"/>
            </w:pPr>
            <w:r>
              <w:t>Hand and Power Tools Use</w:t>
            </w:r>
          </w:p>
          <w:p w14:paraId="58B939EC" w14:textId="15C8D5C1" w:rsidR="0030548B" w:rsidRDefault="0030548B" w:rsidP="0030548B">
            <w:pPr>
              <w:pStyle w:val="BodyText"/>
            </w:pPr>
            <w:r>
              <w:t>Fire Safety (extinguishers, prevention and survival)</w:t>
            </w:r>
          </w:p>
          <w:p w14:paraId="13D20F63" w14:textId="32D7BADB" w:rsidR="0030548B" w:rsidRDefault="0030548B" w:rsidP="0030548B">
            <w:pPr>
              <w:pStyle w:val="BodyText"/>
            </w:pPr>
            <w:r>
              <w:t>Machine (moving pump shaft, belt and wheel) Guarding</w:t>
            </w:r>
          </w:p>
          <w:p w14:paraId="61F67B64" w14:textId="5CCE0D71" w:rsidR="0030548B" w:rsidRDefault="0030548B" w:rsidP="0030548B">
            <w:pPr>
              <w:pStyle w:val="BodyText"/>
            </w:pPr>
            <w:r>
              <w:t>Confined Space (if entering tanks)</w:t>
            </w:r>
          </w:p>
          <w:p w14:paraId="41B36CFA" w14:textId="21176E47" w:rsidR="0030548B" w:rsidRDefault="0030548B" w:rsidP="0030548B">
            <w:pPr>
              <w:pStyle w:val="BodyText"/>
            </w:pPr>
            <w:r>
              <w:t>Respiratory Protection (if required on SDS) and Fitting Program</w:t>
            </w:r>
          </w:p>
          <w:p w14:paraId="16D1AB15" w14:textId="412ECCC6" w:rsidR="0030548B" w:rsidRDefault="0030548B" w:rsidP="0030548B">
            <w:pPr>
              <w:pStyle w:val="BodyText"/>
            </w:pPr>
            <w:r>
              <w:t>Lock Out Tag Out Program (control of unexpected equipment movement and power sources during repair, use, modification or cleaning).</w:t>
            </w:r>
          </w:p>
          <w:p w14:paraId="19144560" w14:textId="4C7C4D97" w:rsidR="0030548B" w:rsidRDefault="0030548B" w:rsidP="0030548B">
            <w:pPr>
              <w:pStyle w:val="BodyText"/>
            </w:pPr>
            <w:r>
              <w:t>Ergonomics (proper body position, equipment use and lifting)</w:t>
            </w:r>
          </w:p>
          <w:p w14:paraId="1C38B78F" w14:textId="3B3C2A76" w:rsidR="0030548B" w:rsidRDefault="0030548B" w:rsidP="0030548B">
            <w:pPr>
              <w:pStyle w:val="BodyText"/>
              <w:rPr>
                <w:i/>
              </w:rPr>
            </w:pPr>
            <w:r w:rsidRPr="0030548B">
              <w:rPr>
                <w:b/>
              </w:rPr>
              <w:t>Remember!</w:t>
            </w:r>
            <w:r>
              <w:t xml:space="preserve">  All training must be documented with the </w:t>
            </w:r>
            <w:r w:rsidR="00407629">
              <w:t>trainer’s</w:t>
            </w:r>
            <w:r>
              <w:t xml:space="preserve"> name, date of training, subjects covered, attendee’s full name, signature and date.  The key is “If the training was not documented, then it did not occur.”</w:t>
            </w:r>
          </w:p>
          <w:p w14:paraId="1AD4B333" w14:textId="63BD6FD0" w:rsidR="0030548B" w:rsidRDefault="0030548B" w:rsidP="0030548B">
            <w:pPr>
              <w:pStyle w:val="BodyText"/>
            </w:pPr>
            <w:r>
              <w:t xml:space="preserve">Additional training is required for all employees that fall outside of the “Materials of Trade” exceptions delineated by the DOT. </w:t>
            </w:r>
          </w:p>
          <w:p w14:paraId="1EA82404" w14:textId="2BC03947" w:rsidR="0030548B" w:rsidRDefault="0030548B" w:rsidP="0030548B">
            <w:pPr>
              <w:pStyle w:val="BodyText"/>
            </w:pPr>
            <w:r>
              <w:t xml:space="preserve">For flammable liquids, this includes any container larger than 8 gallons or any load larger than 440 pounds total aggregate weight including the containers.  DOT has designated this training as “HM-126F” which includes four basic parts: </w:t>
            </w:r>
          </w:p>
          <w:p w14:paraId="337A8233" w14:textId="77777777" w:rsidR="0030548B" w:rsidRDefault="0030548B" w:rsidP="0030548B">
            <w:pPr>
              <w:pStyle w:val="BodyText"/>
            </w:pPr>
            <w:r>
              <w:t xml:space="preserve">General Awareness </w:t>
            </w:r>
          </w:p>
          <w:p w14:paraId="7DE1A2B5" w14:textId="77777777" w:rsidR="0030548B" w:rsidRDefault="0030548B" w:rsidP="0030548B">
            <w:pPr>
              <w:pStyle w:val="BodyText"/>
            </w:pPr>
            <w:r>
              <w:t xml:space="preserve">Safety Training </w:t>
            </w:r>
          </w:p>
          <w:p w14:paraId="542C0532" w14:textId="77777777" w:rsidR="0030548B" w:rsidRDefault="0030548B" w:rsidP="0030548B">
            <w:pPr>
              <w:pStyle w:val="BodyText"/>
            </w:pPr>
            <w:r>
              <w:t xml:space="preserve">Function Specific Training and </w:t>
            </w:r>
          </w:p>
          <w:p w14:paraId="47F59AB5" w14:textId="73CF2290" w:rsidR="0030548B" w:rsidRPr="0030548B" w:rsidRDefault="0030548B" w:rsidP="0030548B">
            <w:pPr>
              <w:pStyle w:val="BodyText"/>
            </w:pPr>
            <w:r>
              <w:t>Drivers Training.</w:t>
            </w:r>
          </w:p>
          <w:p w14:paraId="343CEDB1" w14:textId="105AE616" w:rsidR="0030548B" w:rsidRDefault="0030548B" w:rsidP="0030548B">
            <w:pPr>
              <w:pStyle w:val="BodyText"/>
            </w:pPr>
            <w:r>
              <w:t xml:space="preserve">Loads greater than 119 gallons or 1000 pounds automatically require a commercial </w:t>
            </w:r>
            <w:r w:rsidR="00407629">
              <w:t>driver’s</w:t>
            </w:r>
            <w:r>
              <w:t xml:space="preserve"> license with a hazardous materials endorsement, and extensive drivers training which may include the requirement for a tank endorsement.</w:t>
            </w:r>
          </w:p>
        </w:tc>
      </w:tr>
    </w:tbl>
    <w:p w14:paraId="7B8CD061" w14:textId="4CE79BEC" w:rsidR="0078774A" w:rsidRDefault="0078774A">
      <w:pPr>
        <w:sectPr w:rsidR="0078774A" w:rsidSect="0008045F">
          <w:footerReference w:type="default" r:id="rId9"/>
          <w:pgSz w:w="12240" w:h="15840"/>
          <w:pgMar w:top="720" w:right="1080" w:bottom="1440" w:left="1080" w:header="720" w:footer="720" w:gutter="0"/>
          <w:pgNumType w:start="1"/>
          <w:cols w:space="720"/>
          <w:docGrid w:linePitch="299"/>
        </w:sectPr>
      </w:pPr>
    </w:p>
    <w:p w14:paraId="1A0D660D" w14:textId="507543EB" w:rsidR="00722E97" w:rsidRPr="0078774A" w:rsidRDefault="0078774A" w:rsidP="0078774A">
      <w:pPr>
        <w:jc w:val="center"/>
        <w:rPr>
          <w:rFonts w:eastAsia="Times New Roman"/>
          <w:b/>
          <w:bCs/>
        </w:rPr>
      </w:pPr>
      <w:r w:rsidRPr="0078774A">
        <w:rPr>
          <w:rFonts w:eastAsia="Times New Roman"/>
          <w:b/>
          <w:bCs/>
        </w:rPr>
        <w:lastRenderedPageBreak/>
        <w:t>Transporting Class 3 Flammable Liquids</w:t>
      </w:r>
    </w:p>
    <w:p w14:paraId="79C27119" w14:textId="4CE06EED" w:rsidR="0078774A" w:rsidRPr="0078774A" w:rsidRDefault="0078774A" w:rsidP="006266D4">
      <w:pPr>
        <w:spacing w:after="120"/>
        <w:jc w:val="center"/>
        <w:rPr>
          <w:rFonts w:eastAsia="Times New Roman"/>
          <w:b/>
          <w:bCs/>
        </w:rPr>
      </w:pPr>
      <w:r w:rsidRPr="0078774A">
        <w:rPr>
          <w:rFonts w:eastAsia="Times New Roman"/>
          <w:b/>
          <w:bCs/>
        </w:rPr>
        <w:t>Requirements of the</w:t>
      </w:r>
      <w:r>
        <w:rPr>
          <w:rFonts w:eastAsia="Times New Roman"/>
          <w:b/>
          <w:bCs/>
        </w:rPr>
        <w:t xml:space="preserve"> </w:t>
      </w:r>
      <w:r w:rsidRPr="0078774A">
        <w:rPr>
          <w:rFonts w:eastAsia="Times New Roman"/>
          <w:b/>
          <w:bCs/>
        </w:rPr>
        <w:t>Department of Transportation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  <w:tblCaption w:val="Transporting Class 3 flammable liquids requirements of the Department of Transportation"/>
        <w:tblDescription w:val="Required Training , required documentation for the transprtation of Class 3 flammable liquids."/>
      </w:tblPr>
      <w:tblGrid>
        <w:gridCol w:w="2430"/>
        <w:gridCol w:w="2250"/>
        <w:gridCol w:w="360"/>
        <w:gridCol w:w="540"/>
        <w:gridCol w:w="360"/>
        <w:gridCol w:w="450"/>
        <w:gridCol w:w="360"/>
        <w:gridCol w:w="450"/>
        <w:gridCol w:w="360"/>
        <w:gridCol w:w="450"/>
        <w:gridCol w:w="1980"/>
        <w:gridCol w:w="3420"/>
      </w:tblGrid>
      <w:tr w:rsidR="0078774A" w:rsidRPr="0078774A" w14:paraId="58674A26" w14:textId="66F2E936" w:rsidTr="003A4F53">
        <w:trPr>
          <w:tblHeader/>
        </w:trPr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E35157F" w14:textId="77777777" w:rsidR="000D6489" w:rsidRPr="0078774A" w:rsidRDefault="000D6489" w:rsidP="000D6489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869675" w14:textId="77777777" w:rsidR="000D6489" w:rsidRPr="0078774A" w:rsidRDefault="000D6489" w:rsidP="000D6489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BEDEF2" w14:textId="76EF79E9" w:rsidR="000D6489" w:rsidRPr="0078774A" w:rsidRDefault="000D6489" w:rsidP="000D6489">
            <w:pPr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>Required Training</w:t>
            </w:r>
          </w:p>
        </w:tc>
        <w:tc>
          <w:tcPr>
            <w:tcW w:w="16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792403" w14:textId="11810595" w:rsidR="000D6489" w:rsidRPr="0078774A" w:rsidRDefault="000D6489" w:rsidP="000D6489">
            <w:pPr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>Required Documentation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E775C7D" w14:textId="77777777" w:rsidR="000D6489" w:rsidRPr="0078774A" w:rsidRDefault="000D6489" w:rsidP="000D6489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9B328" w14:textId="77777777" w:rsidR="000D6489" w:rsidRPr="0078774A" w:rsidRDefault="000D6489" w:rsidP="000D6489">
            <w:pPr>
              <w:rPr>
                <w:sz w:val="18"/>
                <w:szCs w:val="18"/>
              </w:rPr>
            </w:pPr>
          </w:p>
        </w:tc>
      </w:tr>
      <w:tr w:rsidR="0078774A" w:rsidRPr="0078774A" w14:paraId="77447E30" w14:textId="138AC6A6" w:rsidTr="0078774A">
        <w:trPr>
          <w:cantSplit/>
          <w:trHeight w:val="2636"/>
        </w:trPr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D948374" w14:textId="452477EC" w:rsidR="000D6489" w:rsidRPr="0078774A" w:rsidRDefault="000D6489" w:rsidP="000D6489">
            <w:pPr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 xml:space="preserve">Class 3 Flammable Liquid PG II or III (Gasoline, Drip-Torch Fuel, Paint) </w:t>
            </w:r>
            <w:r w:rsidR="00600209" w:rsidRPr="0078774A">
              <w:rPr>
                <w:sz w:val="18"/>
                <w:szCs w:val="18"/>
              </w:rPr>
              <w:t>Container</w:t>
            </w:r>
            <w:r w:rsidRPr="0078774A">
              <w:rPr>
                <w:sz w:val="18"/>
                <w:szCs w:val="18"/>
              </w:rPr>
              <w:t xml:space="preserve"> Sixe and Cargo Weight Thresholds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839EFB" w14:textId="26BFA50D" w:rsidR="000D6489" w:rsidRPr="0078774A" w:rsidRDefault="000D6489" w:rsidP="000D6489">
            <w:pPr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>DOT Designation and Packaging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14:paraId="7576D29B" w14:textId="2B6AB24F" w:rsidR="000D6489" w:rsidRPr="0078774A" w:rsidRDefault="000D6489" w:rsidP="000D6489">
            <w:pPr>
              <w:ind w:left="113" w:right="113"/>
              <w:rPr>
                <w:sz w:val="16"/>
                <w:szCs w:val="16"/>
              </w:rPr>
            </w:pPr>
            <w:r w:rsidRPr="0078774A">
              <w:rPr>
                <w:sz w:val="16"/>
                <w:szCs w:val="16"/>
              </w:rPr>
              <w:t>HAZCOM-GEN-JHA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6A7A72D3" w14:textId="7C71A032" w:rsidR="000D6489" w:rsidRPr="0078774A" w:rsidRDefault="000D6489" w:rsidP="000D6489">
            <w:pPr>
              <w:ind w:left="113" w:right="113"/>
              <w:rPr>
                <w:sz w:val="16"/>
                <w:szCs w:val="16"/>
              </w:rPr>
            </w:pPr>
            <w:r w:rsidRPr="0078774A">
              <w:rPr>
                <w:sz w:val="16"/>
                <w:szCs w:val="16"/>
              </w:rPr>
              <w:t>ERG EMERGENCY</w:t>
            </w:r>
            <w:r w:rsidR="00252895" w:rsidRPr="0078774A">
              <w:rPr>
                <w:sz w:val="16"/>
                <w:szCs w:val="16"/>
              </w:rPr>
              <w:br/>
            </w:r>
            <w:r w:rsidRPr="0078774A">
              <w:rPr>
                <w:sz w:val="16"/>
                <w:szCs w:val="16"/>
              </w:rPr>
              <w:t>RESPONSE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769405DB" w14:textId="439CEB48" w:rsidR="000D6489" w:rsidRPr="0078774A" w:rsidRDefault="000D6489" w:rsidP="000D6489">
            <w:pPr>
              <w:ind w:left="113" w:right="113"/>
              <w:rPr>
                <w:sz w:val="16"/>
                <w:szCs w:val="16"/>
              </w:rPr>
            </w:pPr>
            <w:r w:rsidRPr="0078774A">
              <w:rPr>
                <w:sz w:val="16"/>
                <w:szCs w:val="16"/>
              </w:rPr>
              <w:t>HM-126F HAZMAT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27B19068" w14:textId="62DFD654" w:rsidR="000D6489" w:rsidRPr="0078774A" w:rsidRDefault="000D6489" w:rsidP="000D6489">
            <w:pPr>
              <w:ind w:left="113" w:right="113"/>
              <w:rPr>
                <w:sz w:val="16"/>
                <w:szCs w:val="16"/>
              </w:rPr>
            </w:pPr>
            <w:r w:rsidRPr="0078774A">
              <w:rPr>
                <w:sz w:val="16"/>
                <w:szCs w:val="16"/>
              </w:rPr>
              <w:t>EXTENSIVE DRIVER TRNG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14:paraId="61FDA458" w14:textId="1B9839C0" w:rsidR="000D6489" w:rsidRPr="0078774A" w:rsidRDefault="000D6489" w:rsidP="000D6489">
            <w:pPr>
              <w:ind w:left="113" w:right="113"/>
              <w:rPr>
                <w:sz w:val="16"/>
                <w:szCs w:val="16"/>
              </w:rPr>
            </w:pPr>
            <w:r w:rsidRPr="0078774A">
              <w:rPr>
                <w:sz w:val="16"/>
                <w:szCs w:val="16"/>
              </w:rPr>
              <w:t>MSDS SHEETS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5A96B782" w14:textId="4FE8A805" w:rsidR="000D6489" w:rsidRPr="0078774A" w:rsidRDefault="000D6489" w:rsidP="000D6489">
            <w:pPr>
              <w:ind w:left="113" w:right="113"/>
              <w:rPr>
                <w:sz w:val="16"/>
                <w:szCs w:val="16"/>
              </w:rPr>
            </w:pPr>
            <w:r w:rsidRPr="0078774A">
              <w:rPr>
                <w:sz w:val="16"/>
                <w:szCs w:val="16"/>
              </w:rPr>
              <w:t>EMERGENCY RESPONSE GUIDE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630AD383" w14:textId="3A882F8A" w:rsidR="000D6489" w:rsidRPr="0078774A" w:rsidRDefault="000D6489" w:rsidP="000D6489">
            <w:pPr>
              <w:ind w:left="113" w:right="113"/>
              <w:rPr>
                <w:sz w:val="16"/>
                <w:szCs w:val="16"/>
              </w:rPr>
            </w:pPr>
            <w:r w:rsidRPr="0078774A">
              <w:rPr>
                <w:sz w:val="16"/>
                <w:szCs w:val="16"/>
              </w:rPr>
              <w:t>HAZMAT BILL OF LADING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16127E6" w14:textId="494FEDD1" w:rsidR="000D6489" w:rsidRPr="0078774A" w:rsidRDefault="000D6489" w:rsidP="000D6489">
            <w:pPr>
              <w:ind w:left="113" w:right="113"/>
              <w:rPr>
                <w:sz w:val="16"/>
                <w:szCs w:val="16"/>
              </w:rPr>
            </w:pPr>
            <w:r w:rsidRPr="0078774A">
              <w:rPr>
                <w:sz w:val="16"/>
                <w:szCs w:val="16"/>
              </w:rPr>
              <w:t>CDL LICENSE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1096BAF" w14:textId="053CCE47" w:rsidR="000D6489" w:rsidRPr="0078774A" w:rsidRDefault="000D6489" w:rsidP="000D6489">
            <w:pPr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>LABEL</w:t>
            </w:r>
          </w:p>
        </w:tc>
        <w:tc>
          <w:tcPr>
            <w:tcW w:w="34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F37BDC" w14:textId="138113CF" w:rsidR="000D6489" w:rsidRPr="0078774A" w:rsidRDefault="000D6489" w:rsidP="000D6489">
            <w:pPr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>REMARKS</w:t>
            </w:r>
          </w:p>
        </w:tc>
      </w:tr>
      <w:tr w:rsidR="0078774A" w:rsidRPr="0078774A" w14:paraId="428D3584" w14:textId="10E3918C" w:rsidTr="0078774A"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9A9FD43" w14:textId="098ABEC7" w:rsidR="0078774A" w:rsidRPr="0078774A" w:rsidRDefault="0078774A" w:rsidP="0078774A">
            <w:pPr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 xml:space="preserve">Containers less than 8 gallons 930 liters) and total cargo weight is </w:t>
            </w:r>
            <w:r w:rsidRPr="0078774A">
              <w:rPr>
                <w:b/>
                <w:sz w:val="18"/>
                <w:szCs w:val="18"/>
              </w:rPr>
              <w:t xml:space="preserve">less than </w:t>
            </w:r>
            <w:r w:rsidRPr="0078774A">
              <w:rPr>
                <w:sz w:val="18"/>
                <w:szCs w:val="18"/>
              </w:rPr>
              <w:t>440 lbs. (200 kg)</w:t>
            </w:r>
            <w:r w:rsidRPr="0078774A">
              <w:rPr>
                <w:sz w:val="18"/>
                <w:szCs w:val="18"/>
              </w:rPr>
              <w:br/>
              <w:t>OR</w:t>
            </w:r>
            <w:r w:rsidRPr="0078774A">
              <w:rPr>
                <w:sz w:val="18"/>
                <w:szCs w:val="18"/>
              </w:rPr>
              <w:br/>
              <w:t xml:space="preserve">OSHA 5 gallon (max) containers and total cargo weight is </w:t>
            </w:r>
            <w:r w:rsidRPr="0078774A">
              <w:rPr>
                <w:b/>
                <w:sz w:val="18"/>
                <w:szCs w:val="18"/>
              </w:rPr>
              <w:t xml:space="preserve">less than </w:t>
            </w:r>
            <w:r w:rsidRPr="0078774A">
              <w:rPr>
                <w:sz w:val="18"/>
                <w:szCs w:val="18"/>
              </w:rPr>
              <w:t>440 lbs.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F2717D" w14:textId="77777777" w:rsidR="00083864" w:rsidRDefault="0078774A" w:rsidP="00083864">
            <w:pPr>
              <w:spacing w:after="120"/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>Materials of trade exceptions: Performance oriented packaging ( less than 8 gallons)</w:t>
            </w:r>
          </w:p>
          <w:p w14:paraId="046D998B" w14:textId="77777777" w:rsidR="00083864" w:rsidRDefault="00083864" w:rsidP="00083864">
            <w:pPr>
              <w:spacing w:after="120"/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 xml:space="preserve"> </w:t>
            </w:r>
            <w:r w:rsidR="0078774A" w:rsidRPr="0078774A">
              <w:rPr>
                <w:sz w:val="18"/>
                <w:szCs w:val="18"/>
              </w:rPr>
              <w:t>OR</w:t>
            </w:r>
          </w:p>
          <w:p w14:paraId="2965B6B4" w14:textId="550A3A5B" w:rsidR="0078774A" w:rsidRPr="0078774A" w:rsidRDefault="0078774A" w:rsidP="00083864">
            <w:pPr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>OSHA approved (5 gallon max) containers.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21FA97E" w14:textId="77777777" w:rsidR="003E39B8" w:rsidRDefault="003E39B8" w:rsidP="003E39B8">
            <w:pPr>
              <w:spacing w:after="10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14:paraId="3E1ED62E" w14:textId="0A20A9D3" w:rsidR="0078774A" w:rsidRPr="0078774A" w:rsidRDefault="0078774A" w:rsidP="003E3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400B84CB" w14:textId="77777777" w:rsidR="0078774A" w:rsidRPr="0078774A" w:rsidRDefault="0078774A" w:rsidP="0078774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14:paraId="14F230AC" w14:textId="77777777" w:rsidR="0078774A" w:rsidRPr="0078774A" w:rsidRDefault="0078774A" w:rsidP="0078774A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41F08E" w14:textId="77777777" w:rsidR="0078774A" w:rsidRPr="0078774A" w:rsidRDefault="0078774A" w:rsidP="0078774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0C44DBD" w14:textId="77777777" w:rsidR="003E39B8" w:rsidRPr="003E39B8" w:rsidRDefault="003E39B8" w:rsidP="003E39B8">
            <w:pPr>
              <w:spacing w:after="1080"/>
              <w:rPr>
                <w:sz w:val="18"/>
                <w:szCs w:val="18"/>
              </w:rPr>
            </w:pPr>
            <w:r w:rsidRPr="003E39B8">
              <w:rPr>
                <w:sz w:val="18"/>
                <w:szCs w:val="18"/>
              </w:rPr>
              <w:t>X</w:t>
            </w:r>
          </w:p>
          <w:p w14:paraId="3EB648A9" w14:textId="125923EF" w:rsidR="0078774A" w:rsidRPr="0078774A" w:rsidRDefault="0078774A" w:rsidP="003E3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</w:tcBorders>
          </w:tcPr>
          <w:p w14:paraId="720E4366" w14:textId="77777777" w:rsidR="0078774A" w:rsidRPr="0078774A" w:rsidRDefault="0078774A" w:rsidP="0078774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14:paraId="283C8F40" w14:textId="77777777" w:rsidR="0078774A" w:rsidRPr="0078774A" w:rsidRDefault="0078774A" w:rsidP="0078774A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505302" w14:textId="77777777" w:rsidR="0078774A" w:rsidRPr="0078774A" w:rsidRDefault="0078774A" w:rsidP="0078774A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EFD8230" w14:textId="77777777" w:rsidR="003E39B8" w:rsidRPr="003E39B8" w:rsidRDefault="0078774A" w:rsidP="003E39B8">
            <w:pPr>
              <w:spacing w:after="840"/>
              <w:rPr>
                <w:sz w:val="18"/>
                <w:szCs w:val="18"/>
              </w:rPr>
            </w:pPr>
            <w:r w:rsidRPr="003E39B8">
              <w:rPr>
                <w:sz w:val="18"/>
                <w:szCs w:val="18"/>
              </w:rPr>
              <w:t>“</w:t>
            </w:r>
            <w:r w:rsidR="003E39B8" w:rsidRPr="003E39B8">
              <w:rPr>
                <w:sz w:val="18"/>
                <w:szCs w:val="18"/>
              </w:rPr>
              <w:t>Flammable Liquid” or “Gasoline”</w:t>
            </w:r>
          </w:p>
          <w:p w14:paraId="408FC6A5" w14:textId="11F7A0CE" w:rsidR="0078774A" w:rsidRPr="0078774A" w:rsidRDefault="0078774A" w:rsidP="003E39B8">
            <w:pPr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>“Gasoline”</w:t>
            </w:r>
          </w:p>
        </w:tc>
        <w:tc>
          <w:tcPr>
            <w:tcW w:w="34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36D8C" w14:textId="7623EDC3" w:rsidR="0078774A" w:rsidRPr="0078774A" w:rsidRDefault="0078774A" w:rsidP="0078774A">
            <w:pPr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>DOT performance-oriented packaging has United Nations I.D. system</w:t>
            </w:r>
            <w:r w:rsidRPr="0078774A">
              <w:rPr>
                <w:sz w:val="18"/>
                <w:szCs w:val="18"/>
              </w:rPr>
              <w:br/>
              <w:t>OSHA-approved container has “Gasoline” label and has laboratory approval (Underwriter’s Lab oratory), and is stored in 5 gallon (max) containers)</w:t>
            </w:r>
          </w:p>
        </w:tc>
      </w:tr>
      <w:tr w:rsidR="0078774A" w:rsidRPr="0078774A" w14:paraId="080314E6" w14:textId="6C9E447C" w:rsidTr="0078774A"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E4ACEDD" w14:textId="6610DB14" w:rsidR="0078774A" w:rsidRPr="0078774A" w:rsidRDefault="0078774A" w:rsidP="0078774A">
            <w:pPr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>Containers</w:t>
            </w:r>
            <w:r w:rsidRPr="0078774A">
              <w:rPr>
                <w:b/>
                <w:sz w:val="18"/>
                <w:szCs w:val="18"/>
              </w:rPr>
              <w:t xml:space="preserve"> less than</w:t>
            </w:r>
            <w:r w:rsidRPr="0078774A">
              <w:rPr>
                <w:sz w:val="18"/>
                <w:szCs w:val="18"/>
              </w:rPr>
              <w:t xml:space="preserve"> 8 gallons (30 liters) and total cargo weight is more than 440 </w:t>
            </w:r>
            <w:r w:rsidR="00407629" w:rsidRPr="0078774A">
              <w:rPr>
                <w:sz w:val="18"/>
                <w:szCs w:val="18"/>
              </w:rPr>
              <w:t>lbs.</w:t>
            </w:r>
            <w:r w:rsidRPr="0078774A">
              <w:rPr>
                <w:sz w:val="18"/>
                <w:szCs w:val="18"/>
              </w:rPr>
              <w:t xml:space="preserve"> (200 kg), but less than 1001 </w:t>
            </w:r>
            <w:r w:rsidR="00407629" w:rsidRPr="0078774A">
              <w:rPr>
                <w:sz w:val="18"/>
                <w:szCs w:val="18"/>
              </w:rPr>
              <w:t>lbs.</w:t>
            </w:r>
            <w:r w:rsidRPr="0078774A">
              <w:rPr>
                <w:sz w:val="18"/>
                <w:szCs w:val="18"/>
              </w:rPr>
              <w:t xml:space="preserve"> (454 kg).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EEB9D1" w14:textId="18FF08AC" w:rsidR="0078774A" w:rsidRPr="0078774A" w:rsidRDefault="0078774A" w:rsidP="0078774A">
            <w:pPr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>Performance oriented packaging (less than 8 gallons)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F5B7659" w14:textId="77777777" w:rsidR="0078774A" w:rsidRPr="0078774A" w:rsidRDefault="0078774A" w:rsidP="0078774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12D7EBA2" w14:textId="55A6DCA9" w:rsidR="0078774A" w:rsidRPr="0078774A" w:rsidRDefault="0078774A" w:rsidP="0078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14:paraId="00775B48" w14:textId="361E6EB6" w:rsidR="0078774A" w:rsidRPr="0078774A" w:rsidRDefault="0078774A" w:rsidP="0078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579D2" w14:textId="77777777" w:rsidR="0078774A" w:rsidRPr="0078774A" w:rsidRDefault="0078774A" w:rsidP="0078774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4F74FC" w14:textId="7626EEAA" w:rsidR="0078774A" w:rsidRPr="0078774A" w:rsidRDefault="0078774A" w:rsidP="0078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</w:tcBorders>
          </w:tcPr>
          <w:p w14:paraId="7C47CB20" w14:textId="2C550CA0" w:rsidR="0078774A" w:rsidRPr="0078774A" w:rsidRDefault="0078774A" w:rsidP="0078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14:paraId="694873D2" w14:textId="2F4BFA10" w:rsidR="0078774A" w:rsidRPr="0078774A" w:rsidRDefault="0078774A" w:rsidP="0078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904065" w14:textId="77777777" w:rsidR="0078774A" w:rsidRPr="0078774A" w:rsidRDefault="0078774A" w:rsidP="0078774A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877CC94" w14:textId="444DD773" w:rsidR="0078774A" w:rsidRPr="0078774A" w:rsidRDefault="0078774A" w:rsidP="0078774A">
            <w:pPr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>“Flammable Liquid” or “Gasoline”</w:t>
            </w:r>
          </w:p>
        </w:tc>
        <w:tc>
          <w:tcPr>
            <w:tcW w:w="34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B644D5" w14:textId="28818172" w:rsidR="0078774A" w:rsidRPr="0078774A" w:rsidRDefault="0078774A" w:rsidP="0078774A">
            <w:pPr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>DOT performance-oriented packaging has United Nations I.D. system</w:t>
            </w:r>
          </w:p>
        </w:tc>
      </w:tr>
      <w:tr w:rsidR="0078774A" w:rsidRPr="0078774A" w14:paraId="0D52BA43" w14:textId="017B558E" w:rsidTr="0078774A"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945637D" w14:textId="1D6D87D6" w:rsidR="0078774A" w:rsidRPr="0078774A" w:rsidRDefault="0078774A" w:rsidP="0078774A">
            <w:pPr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 xml:space="preserve">Containers from 8 to 119 gallons (30 to 450 liters), and cargo weight is </w:t>
            </w:r>
            <w:r w:rsidRPr="0078774A">
              <w:rPr>
                <w:b/>
                <w:sz w:val="18"/>
                <w:szCs w:val="18"/>
              </w:rPr>
              <w:t xml:space="preserve">less than </w:t>
            </w:r>
            <w:r w:rsidRPr="0078774A">
              <w:rPr>
                <w:sz w:val="18"/>
                <w:szCs w:val="18"/>
              </w:rPr>
              <w:t>1001 lbs. (454 kg).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056AA2" w14:textId="77777777" w:rsidR="0078774A" w:rsidRPr="0078774A" w:rsidRDefault="0078774A" w:rsidP="00083864">
            <w:pPr>
              <w:spacing w:after="120"/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>Non-bulk packages DOT designation: Performance-oriented packaging</w:t>
            </w:r>
          </w:p>
          <w:p w14:paraId="32661EF1" w14:textId="77777777" w:rsidR="0078774A" w:rsidRPr="0078774A" w:rsidRDefault="0078774A" w:rsidP="00083864">
            <w:pPr>
              <w:spacing w:after="120"/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>OR</w:t>
            </w:r>
          </w:p>
          <w:p w14:paraId="7606AB7E" w14:textId="4FB01D70" w:rsidR="0078774A" w:rsidRPr="0078774A" w:rsidRDefault="0078774A" w:rsidP="0078774A">
            <w:pPr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>Portable DOT tanks up to 119 gallons.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8EDEEFD" w14:textId="77777777" w:rsidR="0078774A" w:rsidRPr="0078774A" w:rsidRDefault="0078774A" w:rsidP="0078774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23509EC9" w14:textId="77777777" w:rsidR="003E39B8" w:rsidRPr="003E39B8" w:rsidRDefault="0078774A" w:rsidP="003E39B8">
            <w:pPr>
              <w:spacing w:after="840"/>
              <w:rPr>
                <w:sz w:val="18"/>
                <w:szCs w:val="18"/>
              </w:rPr>
            </w:pPr>
            <w:r w:rsidRPr="003E39B8">
              <w:rPr>
                <w:sz w:val="18"/>
                <w:szCs w:val="18"/>
              </w:rPr>
              <w:t>X</w:t>
            </w:r>
          </w:p>
          <w:p w14:paraId="5AF6679B" w14:textId="5013D148" w:rsidR="0078774A" w:rsidRPr="0078774A" w:rsidRDefault="0078774A" w:rsidP="003E3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14:paraId="43171244" w14:textId="77777777" w:rsidR="003E39B8" w:rsidRPr="003E39B8" w:rsidRDefault="003E39B8" w:rsidP="003E39B8">
            <w:pPr>
              <w:spacing w:after="840"/>
              <w:rPr>
                <w:sz w:val="18"/>
                <w:szCs w:val="18"/>
              </w:rPr>
            </w:pPr>
            <w:r w:rsidRPr="003E39B8">
              <w:rPr>
                <w:sz w:val="18"/>
                <w:szCs w:val="18"/>
              </w:rPr>
              <w:t>X</w:t>
            </w:r>
          </w:p>
          <w:p w14:paraId="39F17D5A" w14:textId="4A29DD2E" w:rsidR="0078774A" w:rsidRPr="0078774A" w:rsidRDefault="0078774A" w:rsidP="003E3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7B58DA" w14:textId="77777777" w:rsidR="003E39B8" w:rsidRPr="003E39B8" w:rsidRDefault="003E39B8" w:rsidP="003E39B8">
            <w:pPr>
              <w:spacing w:after="840"/>
              <w:rPr>
                <w:sz w:val="18"/>
                <w:szCs w:val="18"/>
              </w:rPr>
            </w:pPr>
            <w:r w:rsidRPr="003E39B8">
              <w:rPr>
                <w:sz w:val="18"/>
                <w:szCs w:val="18"/>
              </w:rPr>
              <w:t>R</w:t>
            </w:r>
          </w:p>
          <w:p w14:paraId="0062A996" w14:textId="6E5D470B" w:rsidR="0078774A" w:rsidRPr="0078774A" w:rsidRDefault="0078774A" w:rsidP="003E3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1064C2C" w14:textId="77777777" w:rsidR="003E39B8" w:rsidRPr="003E39B8" w:rsidRDefault="0078774A" w:rsidP="003E39B8">
            <w:pPr>
              <w:spacing w:after="840"/>
              <w:rPr>
                <w:sz w:val="18"/>
                <w:szCs w:val="18"/>
              </w:rPr>
            </w:pPr>
            <w:r w:rsidRPr="003E39B8">
              <w:rPr>
                <w:sz w:val="18"/>
                <w:szCs w:val="18"/>
              </w:rPr>
              <w:t>X</w:t>
            </w:r>
          </w:p>
          <w:p w14:paraId="64108255" w14:textId="4FECF881" w:rsidR="0078774A" w:rsidRPr="0078774A" w:rsidRDefault="0078774A" w:rsidP="003E3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</w:tcBorders>
          </w:tcPr>
          <w:p w14:paraId="6C843598" w14:textId="77777777" w:rsidR="003E39B8" w:rsidRPr="003E39B8" w:rsidRDefault="0078774A" w:rsidP="003E39B8">
            <w:pPr>
              <w:spacing w:after="840"/>
              <w:rPr>
                <w:sz w:val="18"/>
                <w:szCs w:val="18"/>
              </w:rPr>
            </w:pPr>
            <w:r w:rsidRPr="003E39B8">
              <w:rPr>
                <w:sz w:val="18"/>
                <w:szCs w:val="18"/>
              </w:rPr>
              <w:t>X</w:t>
            </w:r>
          </w:p>
          <w:p w14:paraId="6864E27A" w14:textId="672AB590" w:rsidR="0078774A" w:rsidRPr="0078774A" w:rsidRDefault="0078774A" w:rsidP="003E3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14:paraId="2838ACB3" w14:textId="77777777" w:rsidR="003E39B8" w:rsidRPr="003E39B8" w:rsidRDefault="0078774A" w:rsidP="003E39B8">
            <w:pPr>
              <w:spacing w:after="840"/>
              <w:rPr>
                <w:sz w:val="18"/>
                <w:szCs w:val="18"/>
              </w:rPr>
            </w:pPr>
            <w:r w:rsidRPr="003E39B8">
              <w:rPr>
                <w:sz w:val="18"/>
                <w:szCs w:val="18"/>
              </w:rPr>
              <w:t>X</w:t>
            </w:r>
          </w:p>
          <w:p w14:paraId="01514441" w14:textId="16286F0B" w:rsidR="0078774A" w:rsidRPr="0078774A" w:rsidRDefault="0078774A" w:rsidP="003E3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B4349A" w14:textId="77777777" w:rsidR="0078774A" w:rsidRPr="0078774A" w:rsidRDefault="0078774A" w:rsidP="0078774A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DADE350" w14:textId="77777777" w:rsidR="003E39B8" w:rsidRDefault="0078774A" w:rsidP="003E39B8">
            <w:pPr>
              <w:spacing w:after="360"/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 xml:space="preserve">“Flammable Liquid” and “1230” gasoline labels </w:t>
            </w:r>
          </w:p>
          <w:p w14:paraId="7F65CA1B" w14:textId="31C3C01D" w:rsidR="0078774A" w:rsidRPr="0078774A" w:rsidRDefault="0078774A" w:rsidP="003E39B8">
            <w:pPr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>(Same as Above)</w:t>
            </w:r>
          </w:p>
        </w:tc>
        <w:tc>
          <w:tcPr>
            <w:tcW w:w="34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3E68" w14:textId="77777777" w:rsidR="003E39B8" w:rsidRPr="003E39B8" w:rsidRDefault="0078774A" w:rsidP="003E39B8">
            <w:pPr>
              <w:spacing w:after="600"/>
              <w:rPr>
                <w:sz w:val="18"/>
                <w:szCs w:val="18"/>
              </w:rPr>
            </w:pPr>
            <w:r w:rsidRPr="003E39B8">
              <w:rPr>
                <w:sz w:val="18"/>
                <w:szCs w:val="18"/>
              </w:rPr>
              <w:t xml:space="preserve">Containers over 8 gallons </w:t>
            </w:r>
            <w:r w:rsidRPr="003E39B8">
              <w:rPr>
                <w:b/>
                <w:sz w:val="18"/>
                <w:szCs w:val="18"/>
              </w:rPr>
              <w:t>must</w:t>
            </w:r>
            <w:r w:rsidRPr="003E39B8">
              <w:rPr>
                <w:sz w:val="18"/>
                <w:szCs w:val="18"/>
              </w:rPr>
              <w:t xml:space="preserve"> be performance oriented packaging (DOT).</w:t>
            </w:r>
          </w:p>
          <w:p w14:paraId="738DE892" w14:textId="48FC9BB5" w:rsidR="0078774A" w:rsidRPr="0078774A" w:rsidRDefault="0078774A" w:rsidP="003E39B8">
            <w:pPr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>(Same as above)</w:t>
            </w:r>
          </w:p>
        </w:tc>
      </w:tr>
      <w:tr w:rsidR="0078774A" w:rsidRPr="0078774A" w14:paraId="7E6453DC" w14:textId="26202DE4" w:rsidTr="0078774A"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9C051CD" w14:textId="610E2C88" w:rsidR="0078774A" w:rsidRPr="0078774A" w:rsidRDefault="0078774A" w:rsidP="0078774A">
            <w:pPr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 xml:space="preserve">More than 119 gallons (454 kg), or </w:t>
            </w:r>
            <w:r w:rsidRPr="0078774A">
              <w:rPr>
                <w:b/>
                <w:sz w:val="18"/>
                <w:szCs w:val="18"/>
              </w:rPr>
              <w:t>more than</w:t>
            </w:r>
            <w:r w:rsidRPr="0078774A">
              <w:rPr>
                <w:sz w:val="18"/>
                <w:szCs w:val="18"/>
              </w:rPr>
              <w:t xml:space="preserve"> 1001 </w:t>
            </w:r>
            <w:r w:rsidR="00407629" w:rsidRPr="0078774A">
              <w:rPr>
                <w:sz w:val="18"/>
                <w:szCs w:val="18"/>
              </w:rPr>
              <w:t>lbs.</w:t>
            </w:r>
            <w:r w:rsidRPr="0078774A">
              <w:rPr>
                <w:sz w:val="18"/>
                <w:szCs w:val="18"/>
              </w:rPr>
              <w:t xml:space="preserve"> (454 kg) cargo weight.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0F032C" w14:textId="34C1B58A" w:rsidR="0078774A" w:rsidRPr="0078774A" w:rsidRDefault="0078774A" w:rsidP="0078774A">
            <w:pPr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>Bulk packaging requires DOT tank standards- MC406 or 119 to 660 gallons.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4F97B1D" w14:textId="77777777" w:rsidR="0078774A" w:rsidRPr="0078774A" w:rsidRDefault="0078774A" w:rsidP="0078774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61F4CFFD" w14:textId="2880746C" w:rsidR="0078774A" w:rsidRPr="0078774A" w:rsidRDefault="0078774A" w:rsidP="0078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14:paraId="07DC0F8E" w14:textId="02EEB373" w:rsidR="0078774A" w:rsidRPr="0078774A" w:rsidRDefault="0078774A" w:rsidP="0078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4D6A9E" w14:textId="31D6B684" w:rsidR="0078774A" w:rsidRPr="0078774A" w:rsidRDefault="0078774A" w:rsidP="0078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4FFF36F" w14:textId="4BCABD81" w:rsidR="0078774A" w:rsidRPr="0078774A" w:rsidRDefault="0078774A" w:rsidP="0078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</w:tcBorders>
          </w:tcPr>
          <w:p w14:paraId="7A2AC076" w14:textId="44DABC96" w:rsidR="0078774A" w:rsidRPr="0078774A" w:rsidRDefault="0078774A" w:rsidP="0078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</w:tcBorders>
          </w:tcPr>
          <w:p w14:paraId="55267896" w14:textId="7072B3F9" w:rsidR="0078774A" w:rsidRPr="0078774A" w:rsidRDefault="0078774A" w:rsidP="0078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ECE6F0" w14:textId="0BDF198D" w:rsidR="0078774A" w:rsidRPr="0078774A" w:rsidRDefault="0078774A" w:rsidP="0078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B7BB62E" w14:textId="30B62D18" w:rsidR="0078774A" w:rsidRPr="0078774A" w:rsidRDefault="0078774A" w:rsidP="0078774A">
            <w:pPr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>“Flammable Liquid” label and “1230” placard.</w:t>
            </w:r>
          </w:p>
        </w:tc>
        <w:tc>
          <w:tcPr>
            <w:tcW w:w="34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8D44CB" w14:textId="56D547E8" w:rsidR="0078774A" w:rsidRPr="0078774A" w:rsidRDefault="0078774A" w:rsidP="0078774A">
            <w:pPr>
              <w:rPr>
                <w:sz w:val="18"/>
                <w:szCs w:val="18"/>
              </w:rPr>
            </w:pPr>
            <w:r w:rsidRPr="0078774A">
              <w:rPr>
                <w:sz w:val="18"/>
                <w:szCs w:val="18"/>
              </w:rPr>
              <w:t xml:space="preserve">Bulk packaging </w:t>
            </w:r>
            <w:r w:rsidRPr="0078774A">
              <w:rPr>
                <w:b/>
                <w:sz w:val="18"/>
                <w:szCs w:val="18"/>
              </w:rPr>
              <w:t>must have</w:t>
            </w:r>
            <w:r w:rsidRPr="0078774A">
              <w:rPr>
                <w:sz w:val="18"/>
                <w:szCs w:val="18"/>
              </w:rPr>
              <w:t xml:space="preserve"> relief valves, rollover protection, and automatic shutoff valves, Tanks over 119 gallons require regular inspection.</w:t>
            </w:r>
          </w:p>
        </w:tc>
      </w:tr>
    </w:tbl>
    <w:p w14:paraId="1DE273A0" w14:textId="77777777" w:rsidR="00083864" w:rsidRDefault="00F01B33" w:rsidP="00083864">
      <w:pPr>
        <w:spacing w:before="120"/>
        <w:rPr>
          <w:sz w:val="18"/>
          <w:szCs w:val="18"/>
        </w:rPr>
      </w:pPr>
      <w:r w:rsidRPr="0078774A">
        <w:rPr>
          <w:sz w:val="18"/>
          <w:szCs w:val="18"/>
        </w:rPr>
        <w:t xml:space="preserve">Abbreviations: </w:t>
      </w:r>
      <w:r w:rsidRPr="0078774A">
        <w:rPr>
          <w:b/>
          <w:sz w:val="18"/>
          <w:szCs w:val="18"/>
        </w:rPr>
        <w:t>DOT</w:t>
      </w:r>
      <w:r w:rsidRPr="0078774A">
        <w:rPr>
          <w:sz w:val="18"/>
          <w:szCs w:val="18"/>
        </w:rPr>
        <w:t xml:space="preserve"> = Department of Transportation; </w:t>
      </w:r>
      <w:r w:rsidRPr="0078774A">
        <w:rPr>
          <w:b/>
          <w:sz w:val="18"/>
          <w:szCs w:val="18"/>
        </w:rPr>
        <w:t>OSHA</w:t>
      </w:r>
      <w:r w:rsidRPr="0078774A">
        <w:rPr>
          <w:sz w:val="18"/>
          <w:szCs w:val="18"/>
        </w:rPr>
        <w:t xml:space="preserve"> = Occupational safety and Health Administration; </w:t>
      </w:r>
      <w:r w:rsidRPr="0078774A">
        <w:rPr>
          <w:b/>
          <w:sz w:val="18"/>
          <w:szCs w:val="18"/>
        </w:rPr>
        <w:t>ERG</w:t>
      </w:r>
      <w:r w:rsidRPr="0078774A">
        <w:rPr>
          <w:sz w:val="18"/>
          <w:szCs w:val="18"/>
        </w:rPr>
        <w:t xml:space="preserve"> = Emergency Response Guide; </w:t>
      </w:r>
    </w:p>
    <w:p w14:paraId="19A63DCE" w14:textId="117DD098" w:rsidR="00083864" w:rsidRDefault="00F01B33" w:rsidP="00083864">
      <w:pPr>
        <w:rPr>
          <w:sz w:val="18"/>
          <w:szCs w:val="18"/>
        </w:rPr>
      </w:pPr>
      <w:r w:rsidRPr="0078774A">
        <w:rPr>
          <w:b/>
          <w:sz w:val="18"/>
          <w:szCs w:val="18"/>
        </w:rPr>
        <w:t>CDL</w:t>
      </w:r>
      <w:r w:rsidR="0078774A">
        <w:rPr>
          <w:sz w:val="18"/>
          <w:szCs w:val="18"/>
        </w:rPr>
        <w:t xml:space="preserve"> = Commercial </w:t>
      </w:r>
      <w:r w:rsidR="00407629">
        <w:rPr>
          <w:sz w:val="18"/>
          <w:szCs w:val="18"/>
        </w:rPr>
        <w:t>Driver’s</w:t>
      </w:r>
      <w:r w:rsidR="0078774A">
        <w:rPr>
          <w:sz w:val="18"/>
          <w:szCs w:val="18"/>
        </w:rPr>
        <w:t xml:space="preserve"> License </w:t>
      </w:r>
      <w:r w:rsidRPr="0078774A">
        <w:rPr>
          <w:sz w:val="18"/>
          <w:szCs w:val="18"/>
        </w:rPr>
        <w:t xml:space="preserve">with HazMat and tank </w:t>
      </w:r>
      <w:r w:rsidR="005563B3" w:rsidRPr="0078774A">
        <w:rPr>
          <w:sz w:val="18"/>
          <w:szCs w:val="18"/>
        </w:rPr>
        <w:t>endorsements</w:t>
      </w:r>
      <w:r w:rsidRPr="0078774A">
        <w:rPr>
          <w:sz w:val="18"/>
          <w:szCs w:val="18"/>
        </w:rPr>
        <w:t>;</w:t>
      </w:r>
      <w:r w:rsidR="0078774A">
        <w:rPr>
          <w:sz w:val="18"/>
          <w:szCs w:val="18"/>
        </w:rPr>
        <w:t xml:space="preserve"> </w:t>
      </w:r>
      <w:r w:rsidRPr="0078774A">
        <w:rPr>
          <w:b/>
          <w:sz w:val="18"/>
          <w:szCs w:val="18"/>
        </w:rPr>
        <w:t>X</w:t>
      </w:r>
      <w:r w:rsidRPr="0078774A">
        <w:rPr>
          <w:sz w:val="18"/>
          <w:szCs w:val="18"/>
        </w:rPr>
        <w:t xml:space="preserve"> = Required; </w:t>
      </w:r>
      <w:r w:rsidRPr="0078774A">
        <w:rPr>
          <w:b/>
          <w:sz w:val="18"/>
          <w:szCs w:val="18"/>
        </w:rPr>
        <w:t>R</w:t>
      </w:r>
      <w:r w:rsidRPr="0078774A">
        <w:rPr>
          <w:sz w:val="18"/>
          <w:szCs w:val="18"/>
        </w:rPr>
        <w:t xml:space="preserve"> = Recommended; HM-126F training: </w:t>
      </w:r>
    </w:p>
    <w:p w14:paraId="22F251DF" w14:textId="691304A6" w:rsidR="00722E97" w:rsidRPr="00083864" w:rsidRDefault="00F01B33" w:rsidP="00083864">
      <w:pPr>
        <w:rPr>
          <w:sz w:val="18"/>
          <w:szCs w:val="18"/>
        </w:rPr>
      </w:pPr>
      <w:r w:rsidRPr="0078774A">
        <w:rPr>
          <w:b/>
          <w:sz w:val="18"/>
          <w:szCs w:val="18"/>
        </w:rPr>
        <w:t>A</w:t>
      </w:r>
      <w:r w:rsidRPr="0078774A">
        <w:rPr>
          <w:sz w:val="18"/>
          <w:szCs w:val="18"/>
        </w:rPr>
        <w:t xml:space="preserve"> = General awareness; </w:t>
      </w:r>
      <w:r w:rsidRPr="0078774A">
        <w:rPr>
          <w:b/>
          <w:sz w:val="18"/>
          <w:szCs w:val="18"/>
        </w:rPr>
        <w:t>B</w:t>
      </w:r>
      <w:r w:rsidRPr="0078774A">
        <w:rPr>
          <w:sz w:val="18"/>
          <w:szCs w:val="18"/>
        </w:rPr>
        <w:t xml:space="preserve"> = Safety; </w:t>
      </w:r>
      <w:r w:rsidRPr="0078774A">
        <w:rPr>
          <w:b/>
          <w:sz w:val="18"/>
          <w:szCs w:val="18"/>
        </w:rPr>
        <w:t>C</w:t>
      </w:r>
      <w:r w:rsidRPr="0078774A">
        <w:rPr>
          <w:sz w:val="18"/>
          <w:szCs w:val="18"/>
        </w:rPr>
        <w:t xml:space="preserve"> = Function specific; </w:t>
      </w:r>
      <w:r w:rsidRPr="0078774A">
        <w:rPr>
          <w:b/>
          <w:sz w:val="18"/>
          <w:szCs w:val="18"/>
        </w:rPr>
        <w:t>D</w:t>
      </w:r>
      <w:r w:rsidRPr="0078774A">
        <w:rPr>
          <w:sz w:val="18"/>
          <w:szCs w:val="18"/>
        </w:rPr>
        <w:t xml:space="preserve"> = Driver; and </w:t>
      </w:r>
      <w:r w:rsidRPr="0078774A">
        <w:rPr>
          <w:b/>
          <w:sz w:val="18"/>
          <w:szCs w:val="18"/>
        </w:rPr>
        <w:t>PG</w:t>
      </w:r>
      <w:r w:rsidRPr="0078774A">
        <w:rPr>
          <w:sz w:val="18"/>
          <w:szCs w:val="18"/>
        </w:rPr>
        <w:t xml:space="preserve"> = Packing group.</w:t>
      </w:r>
      <w:r w:rsidR="00722E97" w:rsidRPr="0078774A">
        <w:rPr>
          <w:sz w:val="18"/>
          <w:szCs w:val="18"/>
        </w:rPr>
        <w:br w:type="page"/>
      </w:r>
    </w:p>
    <w:p w14:paraId="3A7FECFA" w14:textId="7E373041" w:rsidR="00722E97" w:rsidRDefault="00D45E37" w:rsidP="00D45E37">
      <w:pPr>
        <w:jc w:val="center"/>
        <w:rPr>
          <w:rFonts w:eastAsia="Times New Roman"/>
          <w:b/>
          <w:bCs/>
          <w:sz w:val="36"/>
          <w:szCs w:val="32"/>
        </w:rPr>
      </w:pPr>
      <w:r>
        <w:rPr>
          <w:noProof/>
        </w:rPr>
        <w:lastRenderedPageBreak/>
        <w:drawing>
          <wp:inline distT="0" distB="0" distL="0" distR="0" wp14:anchorId="26432D25" wp14:editId="6A42CDBE">
            <wp:extent cx="5990595" cy="7490804"/>
            <wp:effectExtent l="0" t="6985" r="3175" b="3175"/>
            <wp:docPr id="6" name="Picture 6" descr="Mix Transfer Config" title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x%20Transfer%20Config%20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01968" cy="75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2E97">
        <w:br w:type="page"/>
      </w:r>
    </w:p>
    <w:p w14:paraId="3D0901D5" w14:textId="1BAF7440" w:rsidR="002F1143" w:rsidRDefault="00D45E37" w:rsidP="002F1143">
      <w:pPr>
        <w:jc w:val="center"/>
        <w:sectPr w:rsidR="002F1143" w:rsidSect="00DB19A5">
          <w:pgSz w:w="15840" w:h="12240" w:orient="landscape"/>
          <w:pgMar w:top="1080" w:right="720" w:bottom="1080" w:left="1440" w:header="720" w:footer="720" w:gutter="0"/>
          <w:cols w:space="720"/>
          <w:docGrid w:linePitch="299"/>
        </w:sectPr>
      </w:pPr>
      <w:r>
        <w:rPr>
          <w:noProof/>
        </w:rPr>
        <w:lastRenderedPageBreak/>
        <w:drawing>
          <wp:inline distT="0" distB="0" distL="0" distR="0" wp14:anchorId="77AABB52" wp14:editId="60200CEE">
            <wp:extent cx="6036561" cy="7548294"/>
            <wp:effectExtent l="6032" t="0" r="8573" b="8572"/>
            <wp:docPr id="7" name="Picture 7" descr="Mix Transfer Config" title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x%20Transfer%20Config%20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44384" cy="7558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B709A0" w14:textId="37BDFE27" w:rsidR="00D45E37" w:rsidRDefault="00D45E37" w:rsidP="002F1143">
      <w:pPr>
        <w:pStyle w:val="Heading2"/>
        <w:spacing w:before="0" w:after="360"/>
        <w:jc w:val="center"/>
      </w:pPr>
      <w:r>
        <w:lastRenderedPageBreak/>
        <w:t>HELITORCH INSPECTION CHECKLIST</w:t>
      </w:r>
    </w:p>
    <w:p w14:paraId="48FD6C38" w14:textId="77777777" w:rsidR="002F1143" w:rsidRDefault="00D45E37" w:rsidP="00800FAD">
      <w:pPr>
        <w:pStyle w:val="BodyText"/>
        <w:spacing w:before="0" w:after="0"/>
      </w:pPr>
      <w:r>
        <w:t>C</w:t>
      </w:r>
      <w:r w:rsidR="002F1143">
        <w:t>ompany Name:</w:t>
      </w:r>
    </w:p>
    <w:p w14:paraId="52A0C79F" w14:textId="3D2D69C6" w:rsidR="00D45E37" w:rsidRDefault="00C5788B" w:rsidP="004F0FE1">
      <w:pPr>
        <w:pStyle w:val="BodyText"/>
        <w:spacing w:before="0" w:after="240"/>
      </w:pPr>
      <w:r>
        <w:pict w14:anchorId="123FAB12">
          <v:rect id="_x0000_i1025" style="width:0;height:1.5pt" o:hralign="center" o:hrstd="t" o:hr="t" fillcolor="#a0a0a0" stroked="f"/>
        </w:pict>
      </w:r>
    </w:p>
    <w:p w14:paraId="7FC3DC5A" w14:textId="77777777" w:rsidR="002F1143" w:rsidRDefault="002F1143" w:rsidP="00800FAD">
      <w:pPr>
        <w:pStyle w:val="BodyText"/>
        <w:spacing w:before="0" w:after="0"/>
      </w:pPr>
      <w:r>
        <w:t>Helitorch Identification:</w:t>
      </w:r>
    </w:p>
    <w:p w14:paraId="4E2CAFE0" w14:textId="7860FF2F" w:rsidR="00D45E37" w:rsidRDefault="00C5788B" w:rsidP="004F0FE1">
      <w:pPr>
        <w:pStyle w:val="BodyText"/>
        <w:spacing w:before="0" w:after="240"/>
      </w:pPr>
      <w:r>
        <w:pict w14:anchorId="718E3A57">
          <v:rect id="_x0000_i1026" style="width:0;height:1.5pt" o:hralign="center" o:hrstd="t" o:hr="t" fillcolor="#a0a0a0" stroked="f"/>
        </w:pict>
      </w:r>
    </w:p>
    <w:p w14:paraId="4D5FD8B4" w14:textId="77777777" w:rsidR="004F0FE1" w:rsidRDefault="004F0FE1" w:rsidP="004F0FE1">
      <w:pPr>
        <w:pStyle w:val="BodyText"/>
        <w:spacing w:before="0" w:after="0"/>
      </w:pPr>
      <w:r>
        <w:t>Inspection Location:</w:t>
      </w:r>
    </w:p>
    <w:p w14:paraId="00778DD1" w14:textId="6B66789E" w:rsidR="00D45E37" w:rsidRDefault="00C5788B" w:rsidP="004F0FE1">
      <w:pPr>
        <w:pStyle w:val="BodyText"/>
        <w:spacing w:before="0" w:after="240"/>
      </w:pPr>
      <w:r>
        <w:pict w14:anchorId="540553A3">
          <v:rect id="_x0000_i1027" style="width:0;height:1.5pt" o:hralign="center" o:hrstd="t" o:hr="t" fillcolor="#a0a0a0" stroked="f"/>
        </w:pict>
      </w:r>
    </w:p>
    <w:p w14:paraId="011CEA3D" w14:textId="77777777" w:rsidR="004F0FE1" w:rsidRDefault="00D45E37" w:rsidP="004F0FE1">
      <w:pPr>
        <w:pStyle w:val="BodyText"/>
        <w:spacing w:before="0" w:after="0"/>
      </w:pPr>
      <w:r>
        <w:t>Date:</w:t>
      </w:r>
    </w:p>
    <w:p w14:paraId="164EBCF5" w14:textId="5D70C531" w:rsidR="00D45E37" w:rsidRDefault="00C5788B" w:rsidP="004F0FE1">
      <w:pPr>
        <w:pStyle w:val="BodyText"/>
        <w:spacing w:before="0" w:after="240"/>
      </w:pPr>
      <w:r>
        <w:pict w14:anchorId="5A67DC06">
          <v:rect id="_x0000_i1028" style="width:0;height:1.5pt" o:hralign="center" o:hrstd="t" o:hr="t" fillcolor="#a0a0a0" stroked="f"/>
        </w:pict>
      </w:r>
    </w:p>
    <w:p w14:paraId="10B0BB02" w14:textId="77777777" w:rsidR="004F0FE1" w:rsidRDefault="00D45E37" w:rsidP="004F0FE1">
      <w:pPr>
        <w:pStyle w:val="BodyText"/>
        <w:spacing w:after="0"/>
      </w:pPr>
      <w:r>
        <w:t>I</w:t>
      </w:r>
      <w:r w:rsidR="004F0FE1">
        <w:t>nspector:</w:t>
      </w:r>
    </w:p>
    <w:p w14:paraId="3A32E0F1" w14:textId="3FB9D723" w:rsidR="00D45E37" w:rsidRDefault="00C5788B" w:rsidP="004F0FE1">
      <w:pPr>
        <w:pStyle w:val="BodyText"/>
        <w:spacing w:before="0" w:after="240"/>
      </w:pPr>
      <w:r>
        <w:pict w14:anchorId="29E48B1E">
          <v:rect id="_x0000_i1029" style="width:0;height:1.5pt" o:hralign="center" o:hrstd="t" o:hr="t" fillcolor="#a0a0a0" stroked="f"/>
        </w:pict>
      </w:r>
    </w:p>
    <w:p w14:paraId="08523621" w14:textId="77777777" w:rsidR="00D45E37" w:rsidRDefault="00D45E37" w:rsidP="00210E01">
      <w:pPr>
        <w:pStyle w:val="BodyText"/>
      </w:pPr>
      <w:r>
        <w:t>Tank (55 to 70 Gallons)</w:t>
      </w:r>
    </w:p>
    <w:p w14:paraId="40CCFD67" w14:textId="29364668" w:rsidR="00D45E37" w:rsidRDefault="00D45E37" w:rsidP="00D45E37">
      <w:pPr>
        <w:jc w:val="center"/>
      </w:pPr>
      <w:r>
        <w:rPr>
          <w:noProof/>
        </w:rPr>
        <w:drawing>
          <wp:inline distT="0" distB="0" distL="0" distR="0" wp14:anchorId="2237D528" wp14:editId="50F1733F">
            <wp:extent cx="6657705" cy="5295900"/>
            <wp:effectExtent l="0" t="0" r="0" b="0"/>
            <wp:docPr id="1" name="Picture 1" descr="helitorch_large" title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itorch_larg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471" cy="5303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24544C13" w14:textId="47D1EAA2" w:rsidR="00210E01" w:rsidRDefault="00210E01" w:rsidP="002F1143">
      <w:pPr>
        <w:pStyle w:val="Heading2"/>
        <w:spacing w:before="0" w:after="360"/>
        <w:jc w:val="center"/>
      </w:pPr>
      <w:r>
        <w:lastRenderedPageBreak/>
        <w:t>HELITORCH INSPECTION CHECKLIST (Continued)</w:t>
      </w:r>
    </w:p>
    <w:p w14:paraId="50F7448D" w14:textId="112DE5FD" w:rsidR="00210E01" w:rsidRDefault="00210E01" w:rsidP="002C29B5">
      <w:pPr>
        <w:pStyle w:val="BodyText"/>
        <w:ind w:firstLine="900"/>
      </w:pPr>
      <w:r>
        <w:t>DOT Specification Drum (UN1A1 or UN1A2) or Exemption for Non-DOT Fuel Tank</w:t>
      </w:r>
    </w:p>
    <w:p w14:paraId="319EADDE" w14:textId="611B7F93" w:rsidR="00210E01" w:rsidRDefault="002C29B5" w:rsidP="004F0FE1">
      <w:pPr>
        <w:pStyle w:val="BodyText"/>
        <w:spacing w:after="360"/>
      </w:pPr>
      <w:r>
        <w:t xml:space="preserve">_______ </w:t>
      </w:r>
      <w:r w:rsidR="00210E01">
        <w:t>(Drum Spec or Exemption Number___________________</w:t>
      </w:r>
      <w:r w:rsidR="004F0FE1">
        <w:t>___________________________)</w:t>
      </w:r>
    </w:p>
    <w:p w14:paraId="3C379FA2" w14:textId="67853D2E" w:rsidR="00210E01" w:rsidRDefault="00210E01" w:rsidP="004F0FE1">
      <w:pPr>
        <w:pStyle w:val="BodyText"/>
        <w:spacing w:after="360"/>
        <w:ind w:firstLine="900"/>
      </w:pPr>
      <w:r>
        <w:t>Flammable Liquid” Label, “UN 1203” Marking, “Gasoline” Marking and Exemption</w:t>
      </w:r>
      <w:r w:rsidR="002C29B5">
        <w:br/>
        <w:t>_______</w:t>
      </w:r>
      <w:r>
        <w:t xml:space="preserve"> Number (As Required) Applied to Drum or Tank</w:t>
      </w:r>
    </w:p>
    <w:p w14:paraId="0BB4C742" w14:textId="0E90ED9D" w:rsidR="00210E01" w:rsidRDefault="002C29B5" w:rsidP="004F0FE1">
      <w:pPr>
        <w:pStyle w:val="BodyText"/>
        <w:spacing w:after="360"/>
        <w:ind w:left="900" w:hanging="900"/>
      </w:pPr>
      <w:r>
        <w:t xml:space="preserve">_______ </w:t>
      </w:r>
      <w:r w:rsidR="00210E01">
        <w:t>2” Male Cam &amp; Groove Fitting Installed for Vapor Removal/Recovery (Per Sketch for Fire Spec &amp; Simplex)</w:t>
      </w:r>
    </w:p>
    <w:p w14:paraId="469A325E" w14:textId="0CB7879E" w:rsidR="00210E01" w:rsidRDefault="00210E01" w:rsidP="004F0FE1">
      <w:pPr>
        <w:pStyle w:val="BodyText"/>
        <w:spacing w:after="360"/>
        <w:ind w:firstLine="900"/>
      </w:pPr>
      <w:r>
        <w:t>Relief Valve Installed and Mounted on Cam and Groove Fittings to Prevent Clogging of Valve</w:t>
      </w:r>
      <w:r w:rsidR="002C29B5">
        <w:br/>
        <w:t>_______</w:t>
      </w:r>
      <w:r>
        <w:t xml:space="preserve"> by </w:t>
      </w:r>
      <w:r w:rsidR="00407629">
        <w:t>Gel (</w:t>
      </w:r>
      <w:r>
        <w:t>Per Sketch for Fire Spec &amp; Simplex)</w:t>
      </w:r>
    </w:p>
    <w:p w14:paraId="1159A816" w14:textId="26D06252" w:rsidR="00210E01" w:rsidRDefault="002C29B5" w:rsidP="004F0FE1">
      <w:pPr>
        <w:pStyle w:val="BodyText"/>
        <w:spacing w:after="360"/>
      </w:pPr>
      <w:r>
        <w:t>_______</w:t>
      </w:r>
      <w:r w:rsidR="00210E01">
        <w:t xml:space="preserve">Cam and Groove Fitting Levers Secured </w:t>
      </w:r>
      <w:r w:rsidR="00407629">
        <w:t>with</w:t>
      </w:r>
      <w:r w:rsidR="00210E01">
        <w:t xml:space="preserve"> Safety Pins or Self Locking Levers Are Installed</w:t>
      </w:r>
    </w:p>
    <w:p w14:paraId="76668D16" w14:textId="21853BA8" w:rsidR="00210E01" w:rsidRDefault="00210E01" w:rsidP="004F0FE1">
      <w:pPr>
        <w:pStyle w:val="BodyText"/>
        <w:spacing w:after="360"/>
        <w:ind w:firstLine="900"/>
      </w:pPr>
      <w:r>
        <w:t>2” Emco Wheaton Dry Break Adapter Installed for Fueling of Drum or Tank</w:t>
      </w:r>
      <w:r w:rsidR="002C29B5">
        <w:br/>
        <w:t>_______</w:t>
      </w:r>
      <w:r>
        <w:t xml:space="preserve"> (Per Sketch for Fire Spec &amp; Simplex)</w:t>
      </w:r>
    </w:p>
    <w:p w14:paraId="790E0E7B" w14:textId="77777777" w:rsidR="004F0FE1" w:rsidRDefault="00210E01" w:rsidP="004F0FE1">
      <w:pPr>
        <w:pStyle w:val="BodyText"/>
        <w:spacing w:after="0"/>
        <w:ind w:firstLine="900"/>
      </w:pPr>
      <w:r>
        <w:t>Filling of Drum of Tank by Bottom Filling – Either by Install</w:t>
      </w:r>
      <w:r w:rsidR="004F0FE1">
        <w:t>ation of Dry Break at Bottom of</w:t>
      </w:r>
    </w:p>
    <w:p w14:paraId="089C21BD" w14:textId="3E630D9D" w:rsidR="004F0FE1" w:rsidRDefault="00210E01" w:rsidP="004F0FE1">
      <w:pPr>
        <w:pStyle w:val="BodyText"/>
        <w:spacing w:before="0" w:after="0"/>
        <w:ind w:firstLine="900"/>
      </w:pPr>
      <w:r>
        <w:t xml:space="preserve">Drum or by a Fill Spout That Extends to </w:t>
      </w:r>
    </w:p>
    <w:p w14:paraId="36C6B04D" w14:textId="04311998" w:rsidR="00210E01" w:rsidRDefault="004F0FE1" w:rsidP="004F0FE1">
      <w:pPr>
        <w:pStyle w:val="BodyText"/>
        <w:spacing w:before="0" w:after="360"/>
      </w:pPr>
      <w:r>
        <w:t xml:space="preserve">_______ </w:t>
      </w:r>
      <w:r w:rsidR="00407629">
        <w:t>within</w:t>
      </w:r>
      <w:r w:rsidR="00210E01">
        <w:t xml:space="preserve"> 6” of T</w:t>
      </w:r>
      <w:r>
        <w:t xml:space="preserve">ank Bottom– Splash Filling Not </w:t>
      </w:r>
      <w:r w:rsidR="00210E01">
        <w:t>Permitted</w:t>
      </w:r>
    </w:p>
    <w:p w14:paraId="1048EB2A" w14:textId="742D6A9B" w:rsidR="00210E01" w:rsidRDefault="002C29B5" w:rsidP="004F0FE1">
      <w:pPr>
        <w:pStyle w:val="BodyText"/>
        <w:spacing w:after="360"/>
      </w:pPr>
      <w:r>
        <w:t xml:space="preserve">_______ </w:t>
      </w:r>
      <w:r w:rsidR="00210E01">
        <w:t>Sight Glasses Installed to Determine Fuel Level in Drum or Tank</w:t>
      </w:r>
    </w:p>
    <w:p w14:paraId="6DED5B41" w14:textId="77777777" w:rsidR="000B0074" w:rsidRDefault="002C29B5" w:rsidP="000B0074">
      <w:pPr>
        <w:pStyle w:val="BodyText"/>
        <w:spacing w:after="360"/>
      </w:pPr>
      <w:r>
        <w:t xml:space="preserve">_______ </w:t>
      </w:r>
      <w:r w:rsidR="00210E01">
        <w:t>Drum or Tank is Not Damaged and No Leakage is Visually Detectable</w:t>
      </w:r>
    </w:p>
    <w:p w14:paraId="761A0ACD" w14:textId="77777777" w:rsidR="000B0074" w:rsidRDefault="000B0074" w:rsidP="000B0074">
      <w:pPr>
        <w:pStyle w:val="BodyText"/>
        <w:spacing w:after="360"/>
        <w:sectPr w:rsidR="000B0074" w:rsidSect="00DB19A5">
          <w:pgSz w:w="12240" w:h="15840"/>
          <w:pgMar w:top="720" w:right="1080" w:bottom="1440" w:left="1080" w:header="720" w:footer="720" w:gutter="0"/>
          <w:cols w:space="720"/>
          <w:docGrid w:linePitch="299"/>
        </w:sectPr>
      </w:pPr>
      <w:r>
        <w:t>Comments:</w:t>
      </w:r>
    </w:p>
    <w:p w14:paraId="251F467E" w14:textId="3EAC9268" w:rsidR="001A3EF0" w:rsidRPr="001A3EF0" w:rsidRDefault="001A3EF0" w:rsidP="000B0074">
      <w:pPr>
        <w:pStyle w:val="Heading2"/>
        <w:jc w:val="center"/>
        <w:rPr>
          <w:sz w:val="24"/>
          <w:szCs w:val="24"/>
        </w:rPr>
      </w:pPr>
      <w:r w:rsidRPr="001A3EF0">
        <w:rPr>
          <w:sz w:val="24"/>
          <w:szCs w:val="24"/>
        </w:rPr>
        <w:lastRenderedPageBreak/>
        <w:t>HELITORCH INSPECTION CHECKLIST (Continued)</w:t>
      </w:r>
    </w:p>
    <w:p w14:paraId="7EC47C83" w14:textId="77777777" w:rsidR="0091047B" w:rsidRPr="0091047B" w:rsidRDefault="002E7AEF" w:rsidP="001A3EF0">
      <w:pPr>
        <w:rPr>
          <w:b/>
          <w:sz w:val="24"/>
          <w:szCs w:val="24"/>
        </w:rPr>
      </w:pPr>
      <w:r w:rsidRPr="0091047B">
        <w:rPr>
          <w:b/>
          <w:sz w:val="24"/>
          <w:szCs w:val="24"/>
        </w:rPr>
        <w:t>Suspension</w:t>
      </w:r>
    </w:p>
    <w:p w14:paraId="7582FEF6" w14:textId="62059B70" w:rsidR="001A3EF0" w:rsidRPr="001A3EF0" w:rsidRDefault="0091047B" w:rsidP="00800FAD">
      <w:pPr>
        <w:spacing w:before="240" w:after="360"/>
        <w:rPr>
          <w:sz w:val="24"/>
          <w:szCs w:val="24"/>
        </w:rPr>
      </w:pPr>
      <w:r>
        <w:t xml:space="preserve">_______ </w:t>
      </w:r>
      <w:r w:rsidR="001A3EF0" w:rsidRPr="001A3EF0">
        <w:rPr>
          <w:sz w:val="24"/>
          <w:szCs w:val="24"/>
        </w:rPr>
        <w:t xml:space="preserve">Wire Ropes Have No Physical Damage (Broken Strands, Kinks, </w:t>
      </w:r>
      <w:r w:rsidR="00407629" w:rsidRPr="001A3EF0">
        <w:rPr>
          <w:sz w:val="24"/>
          <w:szCs w:val="24"/>
        </w:rPr>
        <w:t>Etc.</w:t>
      </w:r>
      <w:r w:rsidR="001A3EF0" w:rsidRPr="001A3EF0">
        <w:rPr>
          <w:sz w:val="24"/>
          <w:szCs w:val="24"/>
        </w:rPr>
        <w:t>)</w:t>
      </w:r>
    </w:p>
    <w:p w14:paraId="5AA45713" w14:textId="649DDE42" w:rsidR="0091047B" w:rsidRDefault="001A3EF0" w:rsidP="0091047B">
      <w:pPr>
        <w:ind w:firstLine="810"/>
        <w:rPr>
          <w:sz w:val="24"/>
          <w:szCs w:val="24"/>
        </w:rPr>
      </w:pPr>
      <w:r w:rsidRPr="001A3EF0">
        <w:rPr>
          <w:sz w:val="24"/>
          <w:szCs w:val="24"/>
        </w:rPr>
        <w:t xml:space="preserve">Aviation Grade Bolts Installed – The Bolt Shoulders are </w:t>
      </w:r>
      <w:r w:rsidR="00407629" w:rsidRPr="001A3EF0">
        <w:rPr>
          <w:sz w:val="24"/>
          <w:szCs w:val="24"/>
        </w:rPr>
        <w:t>long</w:t>
      </w:r>
      <w:r w:rsidRPr="001A3EF0">
        <w:rPr>
          <w:sz w:val="24"/>
          <w:szCs w:val="24"/>
        </w:rPr>
        <w:t xml:space="preserve"> </w:t>
      </w:r>
      <w:r w:rsidR="00407629" w:rsidRPr="001A3EF0">
        <w:rPr>
          <w:sz w:val="24"/>
          <w:szCs w:val="24"/>
        </w:rPr>
        <w:t>enough</w:t>
      </w:r>
      <w:r w:rsidRPr="001A3EF0">
        <w:rPr>
          <w:sz w:val="24"/>
          <w:szCs w:val="24"/>
        </w:rPr>
        <w:t xml:space="preserve"> So That the Cable Ends </w:t>
      </w:r>
    </w:p>
    <w:p w14:paraId="5FDD593B" w14:textId="49F4DDEA" w:rsidR="001A3EF0" w:rsidRPr="001A3EF0" w:rsidRDefault="0091047B" w:rsidP="00800FAD">
      <w:pPr>
        <w:spacing w:after="360"/>
        <w:rPr>
          <w:sz w:val="24"/>
          <w:szCs w:val="24"/>
        </w:rPr>
      </w:pPr>
      <w:r>
        <w:t xml:space="preserve">_______ </w:t>
      </w:r>
      <w:r w:rsidRPr="001A3EF0">
        <w:rPr>
          <w:sz w:val="24"/>
          <w:szCs w:val="24"/>
        </w:rPr>
        <w:t xml:space="preserve">Contact </w:t>
      </w:r>
      <w:r w:rsidR="001A3EF0" w:rsidRPr="001A3EF0">
        <w:rPr>
          <w:sz w:val="24"/>
          <w:szCs w:val="24"/>
        </w:rPr>
        <w:t xml:space="preserve">Only </w:t>
      </w:r>
      <w:r w:rsidR="00407629" w:rsidRPr="001A3EF0">
        <w:rPr>
          <w:sz w:val="24"/>
          <w:szCs w:val="24"/>
        </w:rPr>
        <w:t>the</w:t>
      </w:r>
      <w:r w:rsidR="001A3EF0" w:rsidRPr="001A3EF0">
        <w:rPr>
          <w:sz w:val="24"/>
          <w:szCs w:val="24"/>
        </w:rPr>
        <w:t xml:space="preserve"> Shoulder of the Bolts and the Bolt Threads are not a Load Bearing Surface</w:t>
      </w:r>
    </w:p>
    <w:p w14:paraId="3F45E332" w14:textId="77777777" w:rsidR="0091047B" w:rsidRDefault="001A3EF0" w:rsidP="0091047B">
      <w:pPr>
        <w:ind w:firstLine="810"/>
        <w:rPr>
          <w:sz w:val="24"/>
          <w:szCs w:val="24"/>
        </w:rPr>
      </w:pPr>
      <w:r w:rsidRPr="001A3EF0">
        <w:rPr>
          <w:sz w:val="24"/>
          <w:szCs w:val="24"/>
        </w:rPr>
        <w:t>The Pear Link Adapter Spacer is Installed So That the Pear Link Contacts Only the Spacer and</w:t>
      </w:r>
    </w:p>
    <w:p w14:paraId="4328814C" w14:textId="6CDBC274" w:rsidR="001A3EF0" w:rsidRPr="001A3EF0" w:rsidRDefault="0091047B" w:rsidP="00800FAD">
      <w:pPr>
        <w:spacing w:after="360"/>
        <w:rPr>
          <w:sz w:val="24"/>
          <w:szCs w:val="24"/>
        </w:rPr>
      </w:pPr>
      <w:r>
        <w:t xml:space="preserve">_______ </w:t>
      </w:r>
      <w:r w:rsidR="001A3EF0" w:rsidRPr="001A3EF0">
        <w:rPr>
          <w:sz w:val="24"/>
          <w:szCs w:val="24"/>
        </w:rPr>
        <w:t>Not the Bolt</w:t>
      </w:r>
    </w:p>
    <w:p w14:paraId="03F51655" w14:textId="77777777" w:rsidR="001A3EF0" w:rsidRPr="001A3EF0" w:rsidRDefault="001A3EF0" w:rsidP="0091047B">
      <w:pPr>
        <w:spacing w:after="1800"/>
        <w:rPr>
          <w:sz w:val="24"/>
          <w:szCs w:val="24"/>
        </w:rPr>
      </w:pPr>
      <w:r w:rsidRPr="001A3EF0">
        <w:rPr>
          <w:sz w:val="24"/>
          <w:szCs w:val="24"/>
        </w:rPr>
        <w:t>Comments:</w:t>
      </w:r>
    </w:p>
    <w:p w14:paraId="761683F2" w14:textId="6D968047" w:rsidR="001A3EF0" w:rsidRPr="0091047B" w:rsidRDefault="001A3EF0" w:rsidP="001A3EF0">
      <w:pPr>
        <w:rPr>
          <w:b/>
          <w:sz w:val="24"/>
          <w:szCs w:val="24"/>
        </w:rPr>
      </w:pPr>
      <w:r w:rsidRPr="0091047B">
        <w:rPr>
          <w:b/>
          <w:sz w:val="24"/>
          <w:szCs w:val="24"/>
        </w:rPr>
        <w:t>Electrical</w:t>
      </w:r>
    </w:p>
    <w:p w14:paraId="5B738DAF" w14:textId="643E4320" w:rsidR="001A3EF0" w:rsidRPr="001A3EF0" w:rsidRDefault="0091047B" w:rsidP="00800FAD">
      <w:pPr>
        <w:spacing w:before="240" w:after="360"/>
        <w:rPr>
          <w:sz w:val="24"/>
          <w:szCs w:val="24"/>
        </w:rPr>
      </w:pPr>
      <w:r>
        <w:t xml:space="preserve">_______ </w:t>
      </w:r>
      <w:r w:rsidR="001A3EF0" w:rsidRPr="001A3EF0">
        <w:rPr>
          <w:sz w:val="24"/>
          <w:szCs w:val="24"/>
        </w:rPr>
        <w:t>Power Cable in Good Condition – No Cuts or Gaps in Insulation</w:t>
      </w:r>
    </w:p>
    <w:p w14:paraId="6811900B" w14:textId="0A659A14" w:rsidR="001A3EF0" w:rsidRPr="001A3EF0" w:rsidRDefault="001A3EF0" w:rsidP="0091047B">
      <w:pPr>
        <w:spacing w:after="1800"/>
        <w:rPr>
          <w:sz w:val="24"/>
          <w:szCs w:val="24"/>
        </w:rPr>
      </w:pPr>
      <w:r w:rsidRPr="001A3EF0">
        <w:rPr>
          <w:sz w:val="24"/>
          <w:szCs w:val="24"/>
        </w:rPr>
        <w:t>Comments:</w:t>
      </w:r>
    </w:p>
    <w:p w14:paraId="348D2918" w14:textId="2556CE68" w:rsidR="001A3EF0" w:rsidRPr="0091047B" w:rsidRDefault="00407629" w:rsidP="001A3EF0">
      <w:pPr>
        <w:rPr>
          <w:b/>
          <w:sz w:val="24"/>
          <w:szCs w:val="24"/>
        </w:rPr>
      </w:pPr>
      <w:r w:rsidRPr="0091047B">
        <w:rPr>
          <w:b/>
          <w:sz w:val="24"/>
          <w:szCs w:val="24"/>
        </w:rPr>
        <w:t>Misc.</w:t>
      </w:r>
    </w:p>
    <w:p w14:paraId="71B1BFA9" w14:textId="17B23BFF" w:rsidR="001A3EF0" w:rsidRPr="001A3EF0" w:rsidRDefault="0091047B" w:rsidP="00800FAD">
      <w:pPr>
        <w:spacing w:before="240" w:after="360"/>
        <w:rPr>
          <w:sz w:val="24"/>
          <w:szCs w:val="24"/>
        </w:rPr>
      </w:pPr>
      <w:r>
        <w:t xml:space="preserve">_______ </w:t>
      </w:r>
      <w:r w:rsidR="001A3EF0" w:rsidRPr="001A3EF0">
        <w:rPr>
          <w:sz w:val="24"/>
          <w:szCs w:val="24"/>
        </w:rPr>
        <w:t>Pro</w:t>
      </w:r>
      <w:r w:rsidR="00800FAD">
        <w:rPr>
          <w:sz w:val="24"/>
          <w:szCs w:val="24"/>
        </w:rPr>
        <w:t>pane Hose - Hose is Compatible with Propane and h</w:t>
      </w:r>
      <w:r w:rsidR="001A3EF0" w:rsidRPr="001A3EF0">
        <w:rPr>
          <w:sz w:val="24"/>
          <w:szCs w:val="24"/>
        </w:rPr>
        <w:t>as a Braided Metal Cover</w:t>
      </w:r>
    </w:p>
    <w:p w14:paraId="6319CDA2" w14:textId="77777777" w:rsidR="00800FAD" w:rsidRDefault="001A3EF0" w:rsidP="001A3EF0">
      <w:pPr>
        <w:rPr>
          <w:sz w:val="24"/>
          <w:szCs w:val="24"/>
        </w:rPr>
      </w:pPr>
      <w:r w:rsidRPr="001A3EF0">
        <w:rPr>
          <w:sz w:val="24"/>
          <w:szCs w:val="24"/>
        </w:rPr>
        <w:t>Comments:</w:t>
      </w:r>
    </w:p>
    <w:p w14:paraId="4AE4B71E" w14:textId="77777777" w:rsidR="00800FAD" w:rsidRDefault="00800FA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5FB8CDD" w14:textId="10C43431" w:rsidR="00800FAD" w:rsidRPr="00800FAD" w:rsidRDefault="00800FAD" w:rsidP="00800FAD">
      <w:pPr>
        <w:pStyle w:val="Heading2"/>
        <w:jc w:val="center"/>
        <w:rPr>
          <w:sz w:val="24"/>
          <w:szCs w:val="24"/>
        </w:rPr>
      </w:pPr>
      <w:r w:rsidRPr="00800FAD">
        <w:rPr>
          <w:sz w:val="24"/>
          <w:szCs w:val="24"/>
        </w:rPr>
        <w:lastRenderedPageBreak/>
        <w:t>BATCH MIXER/ BATCH TRUCK INSPECTION CHECKLIST</w:t>
      </w:r>
    </w:p>
    <w:p w14:paraId="06D358D2" w14:textId="77777777" w:rsidR="00800FAD" w:rsidRDefault="00800FAD" w:rsidP="00800FAD">
      <w:pPr>
        <w:rPr>
          <w:sz w:val="24"/>
          <w:szCs w:val="24"/>
        </w:rPr>
      </w:pPr>
      <w:r>
        <w:rPr>
          <w:sz w:val="24"/>
          <w:szCs w:val="24"/>
        </w:rPr>
        <w:t>Company Name:</w:t>
      </w:r>
    </w:p>
    <w:p w14:paraId="5C607A2B" w14:textId="7C85615E" w:rsidR="00800FAD" w:rsidRPr="00800FAD" w:rsidRDefault="00C5788B" w:rsidP="00800FAD">
      <w:pPr>
        <w:spacing w:after="240"/>
        <w:rPr>
          <w:sz w:val="24"/>
          <w:szCs w:val="24"/>
        </w:rPr>
      </w:pPr>
      <w:r>
        <w:pict w14:anchorId="499F3A1E">
          <v:rect id="_x0000_i1030" style="width:0;height:1.5pt" o:hralign="center" o:hrstd="t" o:hr="t" fillcolor="#a0a0a0" stroked="f"/>
        </w:pict>
      </w:r>
    </w:p>
    <w:p w14:paraId="4BAA08CB" w14:textId="77777777" w:rsidR="00800FAD" w:rsidRDefault="00800FAD" w:rsidP="00800FAD">
      <w:pPr>
        <w:rPr>
          <w:sz w:val="24"/>
          <w:szCs w:val="24"/>
        </w:rPr>
      </w:pPr>
      <w:r w:rsidRPr="00800FAD">
        <w:rPr>
          <w:sz w:val="24"/>
          <w:szCs w:val="24"/>
        </w:rPr>
        <w:t>Batch Mixer / Tank Identification:</w:t>
      </w:r>
    </w:p>
    <w:p w14:paraId="16C3E1A7" w14:textId="28378DEE" w:rsidR="00800FAD" w:rsidRPr="00800FAD" w:rsidRDefault="00C5788B" w:rsidP="00800FAD">
      <w:pPr>
        <w:spacing w:after="240"/>
        <w:rPr>
          <w:sz w:val="24"/>
          <w:szCs w:val="24"/>
        </w:rPr>
      </w:pPr>
      <w:r>
        <w:pict w14:anchorId="743173E2">
          <v:rect id="_x0000_i1031" style="width:0;height:1.5pt" o:hralign="center" o:hrstd="t" o:hr="t" fillcolor="#a0a0a0" stroked="f"/>
        </w:pict>
      </w:r>
    </w:p>
    <w:p w14:paraId="528BF14C" w14:textId="77777777" w:rsidR="00800FAD" w:rsidRDefault="00800FAD" w:rsidP="00800FAD">
      <w:pPr>
        <w:rPr>
          <w:sz w:val="24"/>
          <w:szCs w:val="24"/>
        </w:rPr>
      </w:pPr>
      <w:r w:rsidRPr="00800FAD">
        <w:rPr>
          <w:sz w:val="24"/>
          <w:szCs w:val="24"/>
        </w:rPr>
        <w:t>Vehicle Identification Number (VIN) (if applicable):</w:t>
      </w:r>
    </w:p>
    <w:p w14:paraId="6FCF7B24" w14:textId="158484FC" w:rsidR="00800FAD" w:rsidRPr="00800FAD" w:rsidRDefault="00C5788B" w:rsidP="00800FAD">
      <w:pPr>
        <w:spacing w:after="240"/>
        <w:rPr>
          <w:sz w:val="24"/>
          <w:szCs w:val="24"/>
        </w:rPr>
      </w:pPr>
      <w:r>
        <w:pict w14:anchorId="6B9B81B4">
          <v:rect id="_x0000_i1032" style="width:0;height:1.5pt" o:hralign="center" o:hrstd="t" o:hr="t" fillcolor="#a0a0a0" stroked="f"/>
        </w:pict>
      </w:r>
    </w:p>
    <w:p w14:paraId="2E16A59B" w14:textId="77777777" w:rsidR="00800FAD" w:rsidRDefault="00800FAD" w:rsidP="00800FAD">
      <w:pPr>
        <w:rPr>
          <w:sz w:val="24"/>
          <w:szCs w:val="24"/>
        </w:rPr>
      </w:pPr>
      <w:r w:rsidRPr="00800FAD">
        <w:rPr>
          <w:sz w:val="24"/>
          <w:szCs w:val="24"/>
        </w:rPr>
        <w:t>Inspection Location:</w:t>
      </w:r>
    </w:p>
    <w:p w14:paraId="4B059D36" w14:textId="751B0131" w:rsidR="00800FAD" w:rsidRPr="00800FAD" w:rsidRDefault="00C5788B" w:rsidP="00800FAD">
      <w:pPr>
        <w:spacing w:after="240"/>
        <w:rPr>
          <w:sz w:val="24"/>
          <w:szCs w:val="24"/>
        </w:rPr>
      </w:pPr>
      <w:r>
        <w:pict w14:anchorId="6095FD15">
          <v:rect id="_x0000_i1033" style="width:0;height:1.5pt" o:hralign="center" o:hrstd="t" o:hr="t" fillcolor="#a0a0a0" stroked="f"/>
        </w:pict>
      </w:r>
    </w:p>
    <w:p w14:paraId="292C1F2B" w14:textId="77777777" w:rsidR="00800FAD" w:rsidRDefault="00800FAD" w:rsidP="00800FAD">
      <w:pPr>
        <w:rPr>
          <w:sz w:val="24"/>
          <w:szCs w:val="24"/>
        </w:rPr>
      </w:pPr>
      <w:r>
        <w:rPr>
          <w:sz w:val="24"/>
          <w:szCs w:val="24"/>
        </w:rPr>
        <w:t>Date:</w:t>
      </w:r>
    </w:p>
    <w:p w14:paraId="4D270A66" w14:textId="757374B7" w:rsidR="00800FAD" w:rsidRPr="00800FAD" w:rsidRDefault="00C5788B" w:rsidP="00800FAD">
      <w:pPr>
        <w:spacing w:after="240"/>
        <w:rPr>
          <w:sz w:val="24"/>
          <w:szCs w:val="24"/>
        </w:rPr>
      </w:pPr>
      <w:r>
        <w:pict w14:anchorId="7DE92D15">
          <v:rect id="_x0000_i1034" style="width:0;height:1.5pt" o:hralign="center" o:hrstd="t" o:hr="t" fillcolor="#a0a0a0" stroked="f"/>
        </w:pict>
      </w:r>
    </w:p>
    <w:p w14:paraId="686B6569" w14:textId="77777777" w:rsidR="00800FAD" w:rsidRDefault="00800FAD" w:rsidP="00800FAD">
      <w:pPr>
        <w:rPr>
          <w:sz w:val="24"/>
          <w:szCs w:val="24"/>
        </w:rPr>
      </w:pPr>
      <w:r w:rsidRPr="00800FAD">
        <w:rPr>
          <w:sz w:val="24"/>
          <w:szCs w:val="24"/>
        </w:rPr>
        <w:t>Inspector:</w:t>
      </w:r>
    </w:p>
    <w:p w14:paraId="186FA1FC" w14:textId="089BA2C4" w:rsidR="00800FAD" w:rsidRPr="00800FAD" w:rsidRDefault="00C5788B" w:rsidP="00800FAD">
      <w:pPr>
        <w:spacing w:after="360"/>
        <w:rPr>
          <w:sz w:val="24"/>
          <w:szCs w:val="24"/>
        </w:rPr>
      </w:pPr>
      <w:r>
        <w:pict w14:anchorId="4688C934">
          <v:rect id="_x0000_i1035" style="width:0;height:1.5pt" o:hralign="center" o:hrstd="t" o:hr="t" fillcolor="#a0a0a0" stroked="f"/>
        </w:pict>
      </w:r>
    </w:p>
    <w:p w14:paraId="346C8662" w14:textId="74BC9238" w:rsidR="00800FAD" w:rsidRPr="00800FAD" w:rsidRDefault="00800FAD" w:rsidP="00800FAD">
      <w:pPr>
        <w:rPr>
          <w:b/>
          <w:sz w:val="24"/>
          <w:szCs w:val="24"/>
        </w:rPr>
      </w:pPr>
      <w:r w:rsidRPr="00800FAD">
        <w:rPr>
          <w:b/>
          <w:sz w:val="24"/>
          <w:szCs w:val="24"/>
        </w:rPr>
        <w:t>Trailer Mounting</w:t>
      </w:r>
    </w:p>
    <w:p w14:paraId="4D7DB160" w14:textId="262B5AB0" w:rsidR="00800FAD" w:rsidRPr="00800FAD" w:rsidRDefault="00800FAD" w:rsidP="0016627C">
      <w:pPr>
        <w:spacing w:before="240" w:after="240"/>
        <w:rPr>
          <w:sz w:val="24"/>
          <w:szCs w:val="24"/>
        </w:rPr>
      </w:pPr>
      <w:r>
        <w:t xml:space="preserve">_______ </w:t>
      </w:r>
      <w:r w:rsidRPr="00800FAD">
        <w:rPr>
          <w:sz w:val="24"/>
          <w:szCs w:val="24"/>
        </w:rPr>
        <w:t>Tank Connected to Trailer Frame Not Expanded Metal Decking</w:t>
      </w:r>
    </w:p>
    <w:p w14:paraId="3396A908" w14:textId="105CB978" w:rsidR="00800FAD" w:rsidRPr="00800FAD" w:rsidRDefault="00800FAD" w:rsidP="0016627C">
      <w:pPr>
        <w:spacing w:after="240"/>
        <w:rPr>
          <w:sz w:val="24"/>
          <w:szCs w:val="24"/>
        </w:rPr>
      </w:pPr>
      <w:r>
        <w:t xml:space="preserve">_______ </w:t>
      </w:r>
      <w:r w:rsidRPr="00800FAD">
        <w:rPr>
          <w:sz w:val="24"/>
          <w:szCs w:val="24"/>
        </w:rPr>
        <w:t xml:space="preserve">Trailer Equipped With Brakes if Trailer Rating is 1500 </w:t>
      </w:r>
      <w:r w:rsidR="00407629" w:rsidRPr="00800FAD">
        <w:rPr>
          <w:sz w:val="24"/>
          <w:szCs w:val="24"/>
        </w:rPr>
        <w:t>lbs.</w:t>
      </w:r>
      <w:r w:rsidRPr="00800FAD">
        <w:rPr>
          <w:sz w:val="24"/>
          <w:szCs w:val="24"/>
        </w:rPr>
        <w:t xml:space="preserve"> or </w:t>
      </w:r>
      <w:r w:rsidR="00407629" w:rsidRPr="00800FAD">
        <w:rPr>
          <w:sz w:val="24"/>
          <w:szCs w:val="24"/>
        </w:rPr>
        <w:t>more</w:t>
      </w:r>
    </w:p>
    <w:p w14:paraId="54052D22" w14:textId="21E654B9" w:rsidR="00800FAD" w:rsidRPr="00800FAD" w:rsidRDefault="00800FAD" w:rsidP="0016627C">
      <w:pPr>
        <w:spacing w:after="240"/>
        <w:rPr>
          <w:sz w:val="24"/>
          <w:szCs w:val="24"/>
        </w:rPr>
      </w:pPr>
      <w:r>
        <w:t xml:space="preserve">_______ </w:t>
      </w:r>
      <w:r w:rsidRPr="00800FAD">
        <w:rPr>
          <w:sz w:val="24"/>
          <w:szCs w:val="24"/>
        </w:rPr>
        <w:t>Trailer Wiring Protected from Abrasion</w:t>
      </w:r>
    </w:p>
    <w:p w14:paraId="63DAFCF4" w14:textId="6C8F7F63" w:rsidR="00800FAD" w:rsidRPr="00800FAD" w:rsidRDefault="00800FAD" w:rsidP="00800FAD">
      <w:pPr>
        <w:spacing w:after="1560"/>
        <w:rPr>
          <w:sz w:val="24"/>
          <w:szCs w:val="24"/>
        </w:rPr>
      </w:pPr>
      <w:r>
        <w:rPr>
          <w:sz w:val="24"/>
          <w:szCs w:val="24"/>
        </w:rPr>
        <w:t>Comments:</w:t>
      </w:r>
    </w:p>
    <w:p w14:paraId="6B516141" w14:textId="11180A9B" w:rsidR="00800FAD" w:rsidRPr="00800FAD" w:rsidRDefault="00800FAD" w:rsidP="00800FAD">
      <w:pPr>
        <w:rPr>
          <w:b/>
          <w:sz w:val="24"/>
          <w:szCs w:val="24"/>
        </w:rPr>
      </w:pPr>
      <w:r w:rsidRPr="00800FAD">
        <w:rPr>
          <w:b/>
          <w:sz w:val="24"/>
          <w:szCs w:val="24"/>
        </w:rPr>
        <w:t>Engine Installation</w:t>
      </w:r>
    </w:p>
    <w:p w14:paraId="07F3A1C7" w14:textId="240FB020" w:rsidR="00800FAD" w:rsidRPr="00800FAD" w:rsidRDefault="00800FAD" w:rsidP="0016627C">
      <w:pPr>
        <w:spacing w:before="240" w:after="240"/>
        <w:rPr>
          <w:sz w:val="24"/>
          <w:szCs w:val="24"/>
        </w:rPr>
      </w:pPr>
      <w:r>
        <w:t xml:space="preserve">_______ </w:t>
      </w:r>
      <w:r w:rsidRPr="00800FAD">
        <w:rPr>
          <w:sz w:val="24"/>
          <w:szCs w:val="24"/>
        </w:rPr>
        <w:t>Fuel Tank Located to Reduce Spillage of Gasoline on Hot Engine</w:t>
      </w:r>
    </w:p>
    <w:p w14:paraId="06781A9C" w14:textId="00E9600E" w:rsidR="00800FAD" w:rsidRPr="00800FAD" w:rsidRDefault="00800FAD" w:rsidP="0016627C">
      <w:pPr>
        <w:spacing w:after="240"/>
        <w:rPr>
          <w:sz w:val="24"/>
          <w:szCs w:val="24"/>
        </w:rPr>
      </w:pPr>
      <w:r>
        <w:t xml:space="preserve">_______ </w:t>
      </w:r>
      <w:r w:rsidRPr="00800FAD">
        <w:rPr>
          <w:sz w:val="24"/>
          <w:szCs w:val="24"/>
        </w:rPr>
        <w:t xml:space="preserve">Shielding Installed Between Pump and Engine to Prevent Leaks </w:t>
      </w:r>
      <w:r w:rsidR="00407629" w:rsidRPr="00800FAD">
        <w:rPr>
          <w:sz w:val="24"/>
          <w:szCs w:val="24"/>
        </w:rPr>
        <w:t>from</w:t>
      </w:r>
      <w:r w:rsidRPr="00800FAD">
        <w:rPr>
          <w:sz w:val="24"/>
          <w:szCs w:val="24"/>
        </w:rPr>
        <w:t xml:space="preserve"> Contacting Hot Engine</w:t>
      </w:r>
    </w:p>
    <w:p w14:paraId="78BB04EE" w14:textId="634D6045" w:rsidR="00800FAD" w:rsidRPr="00800FAD" w:rsidRDefault="00800FAD" w:rsidP="0016627C">
      <w:pPr>
        <w:spacing w:after="240"/>
        <w:rPr>
          <w:sz w:val="24"/>
          <w:szCs w:val="24"/>
        </w:rPr>
      </w:pPr>
      <w:r>
        <w:t xml:space="preserve">_______ </w:t>
      </w:r>
      <w:r w:rsidRPr="00800FAD">
        <w:rPr>
          <w:sz w:val="24"/>
          <w:szCs w:val="24"/>
        </w:rPr>
        <w:t xml:space="preserve">Shielding Installed Between Piping and Engine to Prevent Leaks </w:t>
      </w:r>
      <w:r w:rsidR="00407629" w:rsidRPr="00800FAD">
        <w:rPr>
          <w:sz w:val="24"/>
          <w:szCs w:val="24"/>
        </w:rPr>
        <w:t>from</w:t>
      </w:r>
      <w:r w:rsidRPr="00800FAD">
        <w:rPr>
          <w:sz w:val="24"/>
          <w:szCs w:val="24"/>
        </w:rPr>
        <w:t xml:space="preserve"> Contacting Hot Engine</w:t>
      </w:r>
    </w:p>
    <w:p w14:paraId="4031B461" w14:textId="77777777" w:rsidR="00BF6375" w:rsidRDefault="00800FAD" w:rsidP="00800FAD">
      <w:pPr>
        <w:rPr>
          <w:sz w:val="24"/>
          <w:szCs w:val="24"/>
        </w:rPr>
      </w:pPr>
      <w:r w:rsidRPr="00800FAD">
        <w:rPr>
          <w:sz w:val="24"/>
          <w:szCs w:val="24"/>
        </w:rPr>
        <w:t>Comments:</w:t>
      </w:r>
    </w:p>
    <w:p w14:paraId="6AA1D04C" w14:textId="77777777" w:rsidR="00BF6375" w:rsidRDefault="00BF637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BA0410" w14:textId="77777777" w:rsidR="00BF6375" w:rsidRPr="00BF6375" w:rsidRDefault="00BF6375" w:rsidP="00BF6375">
      <w:pPr>
        <w:pStyle w:val="Heading2"/>
        <w:jc w:val="center"/>
        <w:rPr>
          <w:sz w:val="24"/>
          <w:szCs w:val="24"/>
        </w:rPr>
      </w:pPr>
      <w:r w:rsidRPr="00BF6375">
        <w:rPr>
          <w:sz w:val="24"/>
          <w:szCs w:val="24"/>
        </w:rPr>
        <w:lastRenderedPageBreak/>
        <w:t>BATCH MIXER/ BATCH TRUCK INSPECTION CHECKLIST (Continued)</w:t>
      </w:r>
    </w:p>
    <w:p w14:paraId="56F3895A" w14:textId="67D3FBF7" w:rsidR="00BF6375" w:rsidRPr="00BF6375" w:rsidRDefault="00BF6375" w:rsidP="00BF6375">
      <w:pPr>
        <w:rPr>
          <w:b/>
          <w:sz w:val="24"/>
          <w:szCs w:val="24"/>
        </w:rPr>
      </w:pPr>
      <w:r w:rsidRPr="00BF6375">
        <w:rPr>
          <w:b/>
          <w:sz w:val="24"/>
          <w:szCs w:val="24"/>
        </w:rPr>
        <w:t>Tank (Greater Than 119 Gallons)</w:t>
      </w:r>
    </w:p>
    <w:p w14:paraId="1A69ACC8" w14:textId="77777777" w:rsidR="00BF6375" w:rsidRDefault="00BF6375" w:rsidP="00BF6375">
      <w:pPr>
        <w:pStyle w:val="BodyText"/>
        <w:spacing w:before="240" w:after="0"/>
        <w:ind w:firstLine="900"/>
      </w:pPr>
      <w:r w:rsidRPr="00BF6375">
        <w:t>MC 306 or DOT 406 Specification Cargo Tank or IBC</w:t>
      </w:r>
    </w:p>
    <w:p w14:paraId="28FF7855" w14:textId="196AE1DC" w:rsidR="00BF6375" w:rsidRPr="00BF6375" w:rsidRDefault="00BF6375" w:rsidP="00D7601B">
      <w:pPr>
        <w:pStyle w:val="BodyText"/>
        <w:spacing w:before="0" w:after="240"/>
      </w:pPr>
      <w:r>
        <w:t>_______</w:t>
      </w:r>
      <w:r w:rsidRPr="00BF6375">
        <w:t xml:space="preserve"> (Type_____________________________)</w:t>
      </w:r>
    </w:p>
    <w:p w14:paraId="37370BE3" w14:textId="77777777" w:rsidR="005B1C0D" w:rsidRDefault="00BF6375" w:rsidP="00D7601B">
      <w:pPr>
        <w:spacing w:after="240"/>
        <w:ind w:firstLine="810"/>
        <w:rPr>
          <w:sz w:val="24"/>
          <w:szCs w:val="24"/>
        </w:rPr>
      </w:pPr>
      <w:r w:rsidRPr="00BF6375">
        <w:rPr>
          <w:sz w:val="24"/>
          <w:szCs w:val="24"/>
        </w:rPr>
        <w:t xml:space="preserve">Emergency Shutoff Lever Accessible and Remotely Actuated More Than 10 Feet Away From </w:t>
      </w:r>
      <w:r w:rsidR="005B1C0D">
        <w:t>_______</w:t>
      </w:r>
      <w:r w:rsidRPr="00BF6375">
        <w:rPr>
          <w:sz w:val="24"/>
          <w:szCs w:val="24"/>
        </w:rPr>
        <w:t>Shutoff Valve or At End of Tank Furthest From Valve</w:t>
      </w:r>
    </w:p>
    <w:p w14:paraId="251A4809" w14:textId="133D905A" w:rsidR="00BF6375" w:rsidRPr="00BF6375" w:rsidRDefault="00BF6375" w:rsidP="00D7601B">
      <w:pPr>
        <w:spacing w:after="240"/>
        <w:ind w:firstLine="810"/>
        <w:rPr>
          <w:sz w:val="24"/>
          <w:szCs w:val="24"/>
        </w:rPr>
      </w:pPr>
      <w:r w:rsidRPr="00BF6375">
        <w:rPr>
          <w:sz w:val="24"/>
          <w:szCs w:val="24"/>
        </w:rPr>
        <w:t xml:space="preserve">Tank and/or Vehicle Placarded on 4 Sides as “Flammable Liquid” and Marked on 4 Sides as </w:t>
      </w:r>
      <w:r w:rsidR="005B1C0D">
        <w:t>_______</w:t>
      </w:r>
      <w:r w:rsidR="005B1C0D" w:rsidRPr="00BF6375">
        <w:rPr>
          <w:sz w:val="24"/>
          <w:szCs w:val="24"/>
        </w:rPr>
        <w:t xml:space="preserve"> </w:t>
      </w:r>
      <w:r w:rsidRPr="00BF6375">
        <w:rPr>
          <w:sz w:val="24"/>
          <w:szCs w:val="24"/>
        </w:rPr>
        <w:t>“UN 1203”</w:t>
      </w:r>
    </w:p>
    <w:p w14:paraId="47D5FE0A" w14:textId="1DC78D19" w:rsidR="00BF6375" w:rsidRPr="00BF6375" w:rsidRDefault="005B1C0D" w:rsidP="00D7601B">
      <w:pPr>
        <w:spacing w:after="240"/>
        <w:rPr>
          <w:sz w:val="24"/>
          <w:szCs w:val="24"/>
        </w:rPr>
      </w:pPr>
      <w:r>
        <w:t>_______</w:t>
      </w:r>
      <w:r w:rsidR="00BF6375" w:rsidRPr="00BF6375">
        <w:rPr>
          <w:sz w:val="24"/>
          <w:szCs w:val="24"/>
        </w:rPr>
        <w:t>Shut Off Valves are Protected and Do Not Protrude from Vehicle</w:t>
      </w:r>
    </w:p>
    <w:p w14:paraId="75523F6C" w14:textId="7328300D" w:rsidR="00BF6375" w:rsidRPr="00BF6375" w:rsidRDefault="005B1C0D" w:rsidP="00D7601B">
      <w:pPr>
        <w:spacing w:after="240"/>
        <w:rPr>
          <w:sz w:val="24"/>
          <w:szCs w:val="24"/>
        </w:rPr>
      </w:pPr>
      <w:r>
        <w:t>_______</w:t>
      </w:r>
      <w:r w:rsidR="00BF6375" w:rsidRPr="00BF6375">
        <w:rPr>
          <w:sz w:val="24"/>
          <w:szCs w:val="24"/>
        </w:rPr>
        <w:t>2” Cam &amp; Groove Fitting Installed for Vapor Removal/Recovery</w:t>
      </w:r>
    </w:p>
    <w:p w14:paraId="1CBD52FE" w14:textId="1797FAFF" w:rsidR="00BF6375" w:rsidRPr="00BF6375" w:rsidRDefault="005B1C0D" w:rsidP="00D7601B">
      <w:pPr>
        <w:spacing w:after="240"/>
        <w:rPr>
          <w:sz w:val="24"/>
          <w:szCs w:val="24"/>
        </w:rPr>
      </w:pPr>
      <w:r>
        <w:t>_______</w:t>
      </w:r>
      <w:r w:rsidR="00BF6375" w:rsidRPr="00BF6375">
        <w:rPr>
          <w:sz w:val="24"/>
          <w:szCs w:val="24"/>
        </w:rPr>
        <w:t xml:space="preserve">Fill Spout </w:t>
      </w:r>
      <w:r w:rsidR="00407629" w:rsidRPr="00BF6375">
        <w:rPr>
          <w:sz w:val="24"/>
          <w:szCs w:val="24"/>
        </w:rPr>
        <w:t>extends</w:t>
      </w:r>
      <w:r w:rsidR="00BF6375" w:rsidRPr="00BF6375">
        <w:rPr>
          <w:sz w:val="24"/>
          <w:szCs w:val="24"/>
        </w:rPr>
        <w:t xml:space="preserve"> to </w:t>
      </w:r>
      <w:r w:rsidR="00407629" w:rsidRPr="00BF6375">
        <w:rPr>
          <w:sz w:val="24"/>
          <w:szCs w:val="24"/>
        </w:rPr>
        <w:t>within</w:t>
      </w:r>
      <w:r w:rsidR="00BF6375" w:rsidRPr="00BF6375">
        <w:rPr>
          <w:sz w:val="24"/>
          <w:szCs w:val="24"/>
        </w:rPr>
        <w:t xml:space="preserve"> 6” of Tank Bottom – Splash Filling Not Permitted</w:t>
      </w:r>
    </w:p>
    <w:p w14:paraId="0E95988E" w14:textId="5E9CA2D0" w:rsidR="00BF6375" w:rsidRPr="00BF6375" w:rsidRDefault="005B1C0D" w:rsidP="00D7601B">
      <w:pPr>
        <w:spacing w:after="240"/>
        <w:rPr>
          <w:sz w:val="24"/>
          <w:szCs w:val="24"/>
        </w:rPr>
      </w:pPr>
      <w:r>
        <w:t>_______</w:t>
      </w:r>
      <w:r w:rsidR="00BF6375" w:rsidRPr="00BF6375">
        <w:rPr>
          <w:sz w:val="24"/>
          <w:szCs w:val="24"/>
        </w:rPr>
        <w:t>Visual Inspection (VK) Up To Date</w:t>
      </w:r>
    </w:p>
    <w:p w14:paraId="51AE57F2" w14:textId="06027103" w:rsidR="00BF6375" w:rsidRPr="00BF6375" w:rsidRDefault="005B1C0D" w:rsidP="00D7601B">
      <w:pPr>
        <w:spacing w:after="240"/>
        <w:rPr>
          <w:sz w:val="24"/>
          <w:szCs w:val="24"/>
        </w:rPr>
      </w:pPr>
      <w:r>
        <w:t>_______</w:t>
      </w:r>
      <w:r w:rsidR="00BF6375" w:rsidRPr="00BF6375">
        <w:rPr>
          <w:sz w:val="24"/>
          <w:szCs w:val="24"/>
        </w:rPr>
        <w:t>Internal Pressure Inspection (IP) Up to Date</w:t>
      </w:r>
    </w:p>
    <w:p w14:paraId="26988D36" w14:textId="4DD521E3" w:rsidR="00BF6375" w:rsidRPr="00BF6375" w:rsidRDefault="005B1C0D" w:rsidP="005B1C0D">
      <w:pPr>
        <w:spacing w:after="1680"/>
        <w:rPr>
          <w:sz w:val="24"/>
          <w:szCs w:val="24"/>
        </w:rPr>
      </w:pPr>
      <w:r>
        <w:rPr>
          <w:sz w:val="24"/>
          <w:szCs w:val="24"/>
        </w:rPr>
        <w:t>Comments:</w:t>
      </w:r>
    </w:p>
    <w:p w14:paraId="2BC4BA2E" w14:textId="188B013E" w:rsidR="00BF6375" w:rsidRPr="005B1C0D" w:rsidRDefault="00BF6375" w:rsidP="00BF6375">
      <w:pPr>
        <w:rPr>
          <w:b/>
          <w:sz w:val="24"/>
          <w:szCs w:val="24"/>
        </w:rPr>
      </w:pPr>
      <w:r w:rsidRPr="005B1C0D">
        <w:rPr>
          <w:b/>
          <w:sz w:val="24"/>
          <w:szCs w:val="24"/>
        </w:rPr>
        <w:t>Electrical</w:t>
      </w:r>
    </w:p>
    <w:p w14:paraId="75030DCB" w14:textId="4DBE5550" w:rsidR="005B1C0D" w:rsidRDefault="00BF6375" w:rsidP="005B1C0D">
      <w:pPr>
        <w:spacing w:before="240"/>
        <w:ind w:firstLine="810"/>
        <w:rPr>
          <w:sz w:val="24"/>
          <w:szCs w:val="24"/>
        </w:rPr>
      </w:pPr>
      <w:r w:rsidRPr="00BF6375">
        <w:rPr>
          <w:sz w:val="24"/>
          <w:szCs w:val="24"/>
        </w:rPr>
        <w:t xml:space="preserve">Electrical Connections </w:t>
      </w:r>
      <w:r w:rsidR="00407629" w:rsidRPr="00BF6375">
        <w:rPr>
          <w:sz w:val="24"/>
          <w:szCs w:val="24"/>
        </w:rPr>
        <w:t>near</w:t>
      </w:r>
      <w:r w:rsidRPr="00BF6375">
        <w:rPr>
          <w:sz w:val="24"/>
          <w:szCs w:val="24"/>
        </w:rPr>
        <w:t xml:space="preserve"> Pump and Piping Sealed to Prevent Connections Coming Loose</w:t>
      </w:r>
    </w:p>
    <w:p w14:paraId="3FC5C8D8" w14:textId="60C2E2CB" w:rsidR="00BF6375" w:rsidRPr="00BF6375" w:rsidRDefault="005B1C0D" w:rsidP="00D7601B">
      <w:pPr>
        <w:spacing w:after="240"/>
        <w:rPr>
          <w:sz w:val="24"/>
          <w:szCs w:val="24"/>
        </w:rPr>
      </w:pPr>
      <w:r>
        <w:t>_______</w:t>
      </w:r>
      <w:r w:rsidR="00BF6375" w:rsidRPr="00BF6375">
        <w:rPr>
          <w:sz w:val="24"/>
          <w:szCs w:val="24"/>
        </w:rPr>
        <w:t xml:space="preserve"> </w:t>
      </w:r>
      <w:r w:rsidR="00407629" w:rsidRPr="00BF6375">
        <w:rPr>
          <w:sz w:val="24"/>
          <w:szCs w:val="24"/>
        </w:rPr>
        <w:t>And</w:t>
      </w:r>
      <w:r w:rsidR="00BF6375" w:rsidRPr="00BF6375">
        <w:rPr>
          <w:sz w:val="24"/>
          <w:szCs w:val="24"/>
        </w:rPr>
        <w:t xml:space="preserve"> Sparking</w:t>
      </w:r>
    </w:p>
    <w:p w14:paraId="7F608D06" w14:textId="474C87DA" w:rsidR="00BF6375" w:rsidRPr="00BF6375" w:rsidRDefault="005B1C0D" w:rsidP="00D7601B">
      <w:pPr>
        <w:spacing w:after="240"/>
        <w:rPr>
          <w:sz w:val="24"/>
          <w:szCs w:val="24"/>
        </w:rPr>
      </w:pPr>
      <w:r>
        <w:t>_______</w:t>
      </w:r>
      <w:r w:rsidR="00BF6375" w:rsidRPr="00BF6375">
        <w:rPr>
          <w:sz w:val="24"/>
          <w:szCs w:val="24"/>
        </w:rPr>
        <w:t>Switch Housings Covered to Reduce Sparking</w:t>
      </w:r>
    </w:p>
    <w:p w14:paraId="7C5F0DEA" w14:textId="0642BFC8" w:rsidR="00BF6375" w:rsidRPr="00BF6375" w:rsidRDefault="005B1C0D" w:rsidP="00D7601B">
      <w:pPr>
        <w:spacing w:after="240"/>
        <w:rPr>
          <w:sz w:val="24"/>
          <w:szCs w:val="24"/>
        </w:rPr>
      </w:pPr>
      <w:r>
        <w:t>_______</w:t>
      </w:r>
      <w:r w:rsidR="00BF6375" w:rsidRPr="00BF6375">
        <w:rPr>
          <w:sz w:val="24"/>
          <w:szCs w:val="24"/>
        </w:rPr>
        <w:t>Battery Located Away From Piping Joints and Pump</w:t>
      </w:r>
    </w:p>
    <w:p w14:paraId="65A5CEC7" w14:textId="77777777" w:rsidR="00BF6375" w:rsidRPr="00BF6375" w:rsidRDefault="00BF6375" w:rsidP="005B1C0D">
      <w:pPr>
        <w:spacing w:after="1200"/>
        <w:rPr>
          <w:sz w:val="24"/>
          <w:szCs w:val="24"/>
        </w:rPr>
      </w:pPr>
      <w:r w:rsidRPr="00BF6375">
        <w:rPr>
          <w:sz w:val="24"/>
          <w:szCs w:val="24"/>
        </w:rPr>
        <w:t>Comments:</w:t>
      </w:r>
    </w:p>
    <w:p w14:paraId="033B303A" w14:textId="77777777" w:rsidR="00516598" w:rsidRDefault="0051659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956FA94" w14:textId="77777777" w:rsidR="00516598" w:rsidRPr="00516598" w:rsidRDefault="00516598" w:rsidP="00516598">
      <w:pPr>
        <w:pStyle w:val="Heading2"/>
        <w:jc w:val="center"/>
        <w:rPr>
          <w:sz w:val="24"/>
          <w:szCs w:val="24"/>
        </w:rPr>
      </w:pPr>
      <w:r w:rsidRPr="00516598">
        <w:rPr>
          <w:sz w:val="24"/>
          <w:szCs w:val="24"/>
        </w:rPr>
        <w:lastRenderedPageBreak/>
        <w:t>BATCH MIXER/ BATCH TRUCK INSPECTION CHECKLIST (Continued)</w:t>
      </w:r>
    </w:p>
    <w:p w14:paraId="38F8212F" w14:textId="1829D459" w:rsidR="00516598" w:rsidRPr="00D7601B" w:rsidRDefault="00516598" w:rsidP="00516598">
      <w:pPr>
        <w:rPr>
          <w:b/>
          <w:sz w:val="24"/>
          <w:szCs w:val="24"/>
        </w:rPr>
      </w:pPr>
      <w:r w:rsidRPr="00516598">
        <w:rPr>
          <w:b/>
          <w:sz w:val="24"/>
          <w:szCs w:val="24"/>
        </w:rPr>
        <w:t>Hoses</w:t>
      </w:r>
    </w:p>
    <w:p w14:paraId="6DEC9123" w14:textId="1AC4818F" w:rsidR="00516598" w:rsidRPr="00516598" w:rsidRDefault="00D7601B" w:rsidP="00D7601B">
      <w:pPr>
        <w:spacing w:before="120" w:after="240"/>
        <w:rPr>
          <w:sz w:val="24"/>
          <w:szCs w:val="24"/>
        </w:rPr>
      </w:pPr>
      <w:r>
        <w:t>_______</w:t>
      </w:r>
      <w:r w:rsidR="00516598" w:rsidRPr="00516598">
        <w:rPr>
          <w:sz w:val="24"/>
          <w:szCs w:val="24"/>
        </w:rPr>
        <w:t xml:space="preserve">Hoses Designed for Use </w:t>
      </w:r>
      <w:r w:rsidR="00407629" w:rsidRPr="00516598">
        <w:rPr>
          <w:sz w:val="24"/>
          <w:szCs w:val="24"/>
        </w:rPr>
        <w:t>with</w:t>
      </w:r>
      <w:r w:rsidR="00516598" w:rsidRPr="00516598">
        <w:rPr>
          <w:sz w:val="24"/>
          <w:szCs w:val="24"/>
        </w:rPr>
        <w:t xml:space="preserve"> Gasoline (Hose Make &amp; Model </w:t>
      </w:r>
      <w:r>
        <w:rPr>
          <w:sz w:val="24"/>
          <w:szCs w:val="24"/>
        </w:rPr>
        <w:t>__________________________)</w:t>
      </w:r>
    </w:p>
    <w:p w14:paraId="2788D85D" w14:textId="6E9A4F7E" w:rsidR="00516598" w:rsidRPr="00516598" w:rsidRDefault="00516598" w:rsidP="00D7601B">
      <w:pPr>
        <w:ind w:firstLine="810"/>
        <w:rPr>
          <w:sz w:val="24"/>
          <w:szCs w:val="24"/>
        </w:rPr>
      </w:pPr>
      <w:r w:rsidRPr="00516598">
        <w:rPr>
          <w:sz w:val="24"/>
          <w:szCs w:val="24"/>
        </w:rPr>
        <w:t xml:space="preserve">Vapor Recovery/Removal Hose Designed for Use </w:t>
      </w:r>
      <w:r w:rsidR="00407629" w:rsidRPr="00516598">
        <w:rPr>
          <w:sz w:val="24"/>
          <w:szCs w:val="24"/>
        </w:rPr>
        <w:t>with</w:t>
      </w:r>
      <w:r w:rsidRPr="00516598">
        <w:rPr>
          <w:sz w:val="24"/>
          <w:szCs w:val="24"/>
        </w:rPr>
        <w:t xml:space="preserve"> Gasoline Vapor </w:t>
      </w:r>
    </w:p>
    <w:p w14:paraId="241311AA" w14:textId="6095F737" w:rsidR="00516598" w:rsidRPr="00516598" w:rsidRDefault="00D7601B" w:rsidP="00D7601B">
      <w:pPr>
        <w:spacing w:after="240"/>
        <w:rPr>
          <w:sz w:val="24"/>
          <w:szCs w:val="24"/>
        </w:rPr>
      </w:pPr>
      <w:r>
        <w:t>_______</w:t>
      </w:r>
      <w:r w:rsidRPr="00516598">
        <w:rPr>
          <w:sz w:val="24"/>
          <w:szCs w:val="24"/>
        </w:rPr>
        <w:t xml:space="preserve"> </w:t>
      </w:r>
      <w:r w:rsidR="00516598" w:rsidRPr="00516598">
        <w:rPr>
          <w:sz w:val="24"/>
          <w:szCs w:val="24"/>
        </w:rPr>
        <w:t>(Hose Make &amp; Model _____________________________</w:t>
      </w:r>
      <w:r>
        <w:rPr>
          <w:sz w:val="24"/>
          <w:szCs w:val="24"/>
        </w:rPr>
        <w:t>____________________________)</w:t>
      </w:r>
    </w:p>
    <w:p w14:paraId="3D8583A7" w14:textId="0BB223BD" w:rsidR="00516598" w:rsidRPr="00516598" w:rsidRDefault="00D7601B" w:rsidP="00D7601B">
      <w:pPr>
        <w:spacing w:after="240"/>
        <w:rPr>
          <w:sz w:val="24"/>
          <w:szCs w:val="24"/>
        </w:rPr>
      </w:pPr>
      <w:r>
        <w:t>_______</w:t>
      </w:r>
      <w:r w:rsidR="00516598" w:rsidRPr="00516598">
        <w:rPr>
          <w:sz w:val="24"/>
          <w:szCs w:val="24"/>
        </w:rPr>
        <w:t>Swaged Hose Ends</w:t>
      </w:r>
    </w:p>
    <w:p w14:paraId="319C9FB2" w14:textId="4279A688" w:rsidR="00516598" w:rsidRPr="00516598" w:rsidRDefault="00D7601B" w:rsidP="00D7601B">
      <w:pPr>
        <w:spacing w:after="240"/>
        <w:rPr>
          <w:sz w:val="24"/>
          <w:szCs w:val="24"/>
        </w:rPr>
      </w:pPr>
      <w:r>
        <w:t>_______</w:t>
      </w:r>
      <w:r w:rsidR="00516598" w:rsidRPr="00516598">
        <w:rPr>
          <w:sz w:val="24"/>
          <w:szCs w:val="24"/>
        </w:rPr>
        <w:t>Electrically Conductive</w:t>
      </w:r>
    </w:p>
    <w:p w14:paraId="0B517BD5" w14:textId="5835DC95" w:rsidR="00516598" w:rsidRPr="00516598" w:rsidRDefault="00D7601B" w:rsidP="00D7601B">
      <w:pPr>
        <w:spacing w:after="240"/>
        <w:rPr>
          <w:sz w:val="24"/>
          <w:szCs w:val="24"/>
        </w:rPr>
      </w:pPr>
      <w:r>
        <w:t>_______</w:t>
      </w:r>
      <w:r w:rsidR="00516598" w:rsidRPr="00516598">
        <w:rPr>
          <w:sz w:val="24"/>
          <w:szCs w:val="24"/>
        </w:rPr>
        <w:t>Live Reel Installed</w:t>
      </w:r>
    </w:p>
    <w:p w14:paraId="6FB35240" w14:textId="40062A34" w:rsidR="00516598" w:rsidRPr="00516598" w:rsidRDefault="00D7601B" w:rsidP="00D7601B">
      <w:pPr>
        <w:spacing w:after="1800"/>
        <w:rPr>
          <w:sz w:val="24"/>
          <w:szCs w:val="24"/>
        </w:rPr>
      </w:pPr>
      <w:r>
        <w:rPr>
          <w:sz w:val="24"/>
          <w:szCs w:val="24"/>
        </w:rPr>
        <w:t>Comments:</w:t>
      </w:r>
    </w:p>
    <w:p w14:paraId="4D675191" w14:textId="77777777" w:rsidR="00516598" w:rsidRPr="00D7601B" w:rsidRDefault="00516598" w:rsidP="00516598">
      <w:pPr>
        <w:rPr>
          <w:b/>
          <w:sz w:val="24"/>
          <w:szCs w:val="24"/>
        </w:rPr>
      </w:pPr>
      <w:r w:rsidRPr="00D7601B">
        <w:rPr>
          <w:b/>
          <w:sz w:val="24"/>
          <w:szCs w:val="24"/>
        </w:rPr>
        <w:t>Pump</w:t>
      </w:r>
    </w:p>
    <w:p w14:paraId="1631E401" w14:textId="2E4FA0A9" w:rsidR="00516598" w:rsidRPr="00516598" w:rsidRDefault="00D7601B" w:rsidP="00D7601B">
      <w:pPr>
        <w:spacing w:before="120" w:after="240"/>
        <w:rPr>
          <w:sz w:val="24"/>
          <w:szCs w:val="24"/>
        </w:rPr>
      </w:pPr>
      <w:r>
        <w:t>_______</w:t>
      </w:r>
      <w:r w:rsidR="00516598" w:rsidRPr="00516598">
        <w:rPr>
          <w:sz w:val="24"/>
          <w:szCs w:val="24"/>
        </w:rPr>
        <w:t>Pump Internals are Non-Sparking</w:t>
      </w:r>
    </w:p>
    <w:p w14:paraId="388A8061" w14:textId="2B246A51" w:rsidR="00516598" w:rsidRPr="00516598" w:rsidRDefault="00D7601B" w:rsidP="00D7601B">
      <w:pPr>
        <w:spacing w:after="240"/>
        <w:rPr>
          <w:sz w:val="24"/>
          <w:szCs w:val="24"/>
        </w:rPr>
      </w:pPr>
      <w:r>
        <w:t>_______</w:t>
      </w:r>
      <w:r w:rsidR="00516598" w:rsidRPr="00516598">
        <w:rPr>
          <w:sz w:val="24"/>
          <w:szCs w:val="24"/>
        </w:rPr>
        <w:t xml:space="preserve">Pump Seals are Compatible </w:t>
      </w:r>
      <w:r w:rsidR="00407629">
        <w:rPr>
          <w:sz w:val="24"/>
          <w:szCs w:val="24"/>
        </w:rPr>
        <w:t>with</w:t>
      </w:r>
      <w:r>
        <w:rPr>
          <w:sz w:val="24"/>
          <w:szCs w:val="24"/>
        </w:rPr>
        <w:t xml:space="preserve"> Gasoline (Viton or Buna N)</w:t>
      </w:r>
    </w:p>
    <w:p w14:paraId="1FEF46DD" w14:textId="01EA7D87" w:rsidR="00516598" w:rsidRPr="00516598" w:rsidRDefault="00516598" w:rsidP="00D7601B">
      <w:pPr>
        <w:spacing w:after="1800"/>
        <w:rPr>
          <w:sz w:val="24"/>
          <w:szCs w:val="24"/>
        </w:rPr>
      </w:pPr>
      <w:r w:rsidRPr="00516598">
        <w:rPr>
          <w:sz w:val="24"/>
          <w:szCs w:val="24"/>
        </w:rPr>
        <w:t>Comments:</w:t>
      </w:r>
    </w:p>
    <w:p w14:paraId="397E551E" w14:textId="61C85D5D" w:rsidR="00516598" w:rsidRPr="00D7601B" w:rsidRDefault="00407629" w:rsidP="00516598">
      <w:pPr>
        <w:rPr>
          <w:b/>
          <w:sz w:val="24"/>
          <w:szCs w:val="24"/>
        </w:rPr>
      </w:pPr>
      <w:r w:rsidRPr="00D7601B">
        <w:rPr>
          <w:b/>
          <w:sz w:val="24"/>
          <w:szCs w:val="24"/>
        </w:rPr>
        <w:t>Misc.</w:t>
      </w:r>
    </w:p>
    <w:p w14:paraId="54E876D1" w14:textId="224CAB3D" w:rsidR="00516598" w:rsidRPr="00516598" w:rsidRDefault="00D7601B" w:rsidP="00D7601B">
      <w:pPr>
        <w:spacing w:before="120" w:after="240"/>
        <w:rPr>
          <w:sz w:val="24"/>
          <w:szCs w:val="24"/>
        </w:rPr>
      </w:pPr>
      <w:r>
        <w:t>_______</w:t>
      </w:r>
      <w:r w:rsidR="00516598" w:rsidRPr="00516598">
        <w:rPr>
          <w:sz w:val="24"/>
          <w:szCs w:val="24"/>
        </w:rPr>
        <w:t>Safety Pins Installed on Camlok Fittings or Self Locking Camlok Fittings Installed</w:t>
      </w:r>
    </w:p>
    <w:p w14:paraId="5EFD960F" w14:textId="481C28F3" w:rsidR="00516598" w:rsidRPr="00516598" w:rsidRDefault="00D7601B" w:rsidP="00D7601B">
      <w:pPr>
        <w:spacing w:after="240"/>
        <w:rPr>
          <w:sz w:val="24"/>
          <w:szCs w:val="24"/>
        </w:rPr>
      </w:pPr>
      <w:r>
        <w:t>_______</w:t>
      </w:r>
      <w:r w:rsidR="00516598" w:rsidRPr="00516598">
        <w:rPr>
          <w:sz w:val="24"/>
          <w:szCs w:val="24"/>
        </w:rPr>
        <w:t xml:space="preserve">Pressure Gage Isolated </w:t>
      </w:r>
      <w:r w:rsidR="00407629" w:rsidRPr="00516598">
        <w:rPr>
          <w:sz w:val="24"/>
          <w:szCs w:val="24"/>
        </w:rPr>
        <w:t>from</w:t>
      </w:r>
      <w:r w:rsidR="00516598" w:rsidRPr="00516598">
        <w:rPr>
          <w:sz w:val="24"/>
          <w:szCs w:val="24"/>
        </w:rPr>
        <w:t xml:space="preserve"> Gel</w:t>
      </w:r>
    </w:p>
    <w:p w14:paraId="675E9E4F" w14:textId="34FAB80A" w:rsidR="00516598" w:rsidRPr="00516598" w:rsidRDefault="00D7601B" w:rsidP="00D7601B">
      <w:pPr>
        <w:spacing w:after="240"/>
        <w:rPr>
          <w:sz w:val="24"/>
          <w:szCs w:val="24"/>
        </w:rPr>
      </w:pPr>
      <w:r>
        <w:t>_______</w:t>
      </w:r>
      <w:r w:rsidR="00516598" w:rsidRPr="00516598">
        <w:rPr>
          <w:sz w:val="24"/>
          <w:szCs w:val="24"/>
        </w:rPr>
        <w:t xml:space="preserve">Valves Labeled </w:t>
      </w:r>
      <w:r w:rsidR="00407629" w:rsidRPr="00516598">
        <w:rPr>
          <w:sz w:val="24"/>
          <w:szCs w:val="24"/>
        </w:rPr>
        <w:t>as to</w:t>
      </w:r>
      <w:r w:rsidR="00516598" w:rsidRPr="00516598">
        <w:rPr>
          <w:sz w:val="24"/>
          <w:szCs w:val="24"/>
        </w:rPr>
        <w:t xml:space="preserve"> Function and Flow Direction</w:t>
      </w:r>
    </w:p>
    <w:p w14:paraId="33EC187D" w14:textId="6676C846" w:rsidR="00516598" w:rsidRDefault="00D7601B" w:rsidP="00D7601B">
      <w:pPr>
        <w:spacing w:after="240"/>
        <w:rPr>
          <w:sz w:val="24"/>
          <w:szCs w:val="24"/>
        </w:rPr>
      </w:pPr>
      <w:r>
        <w:t>_______</w:t>
      </w:r>
      <w:r w:rsidR="00516598" w:rsidRPr="00516598">
        <w:rPr>
          <w:sz w:val="24"/>
          <w:szCs w:val="24"/>
        </w:rPr>
        <w:t>Fire Extinguisher Mounted in Accessible Location</w:t>
      </w:r>
    </w:p>
    <w:p w14:paraId="5AAE2350" w14:textId="6B003F06" w:rsidR="00D7601B" w:rsidRPr="00516598" w:rsidRDefault="00D7601B" w:rsidP="00D7601B">
      <w:pPr>
        <w:spacing w:after="1800"/>
        <w:rPr>
          <w:sz w:val="24"/>
          <w:szCs w:val="24"/>
        </w:rPr>
      </w:pPr>
      <w:r w:rsidRPr="00516598">
        <w:rPr>
          <w:sz w:val="24"/>
          <w:szCs w:val="24"/>
        </w:rPr>
        <w:t>Comments:</w:t>
      </w:r>
    </w:p>
    <w:p w14:paraId="570D852C" w14:textId="6A04368B" w:rsidR="00782D1D" w:rsidRPr="00782D1D" w:rsidRDefault="00782D1D" w:rsidP="00782D1D">
      <w:pPr>
        <w:pStyle w:val="Heading2"/>
        <w:jc w:val="center"/>
        <w:rPr>
          <w:sz w:val="24"/>
          <w:szCs w:val="24"/>
        </w:rPr>
      </w:pPr>
      <w:r w:rsidRPr="00782D1D">
        <w:rPr>
          <w:sz w:val="24"/>
          <w:szCs w:val="24"/>
        </w:rPr>
        <w:lastRenderedPageBreak/>
        <w:t>MIX-TRANSFER SYSTEM INSPECTION CHECKLIST</w:t>
      </w:r>
    </w:p>
    <w:p w14:paraId="5D4F53C7" w14:textId="77777777" w:rsidR="00782D1D" w:rsidRDefault="00782D1D" w:rsidP="00782D1D">
      <w:pPr>
        <w:spacing w:before="240"/>
        <w:rPr>
          <w:sz w:val="24"/>
          <w:szCs w:val="24"/>
        </w:rPr>
      </w:pPr>
      <w:r>
        <w:rPr>
          <w:sz w:val="24"/>
          <w:szCs w:val="24"/>
        </w:rPr>
        <w:t>Company Name:</w:t>
      </w:r>
    </w:p>
    <w:p w14:paraId="60D968A6" w14:textId="76F387AB" w:rsidR="00782D1D" w:rsidRPr="00782D1D" w:rsidRDefault="00C5788B" w:rsidP="00782D1D">
      <w:pPr>
        <w:spacing w:after="360"/>
        <w:rPr>
          <w:sz w:val="24"/>
          <w:szCs w:val="24"/>
        </w:rPr>
      </w:pPr>
      <w:r>
        <w:pict w14:anchorId="4D6A02A0">
          <v:rect id="_x0000_i1036" style="width:0;height:1.5pt" o:hralign="center" o:hrstd="t" o:hr="t" fillcolor="#a0a0a0" stroked="f"/>
        </w:pict>
      </w:r>
    </w:p>
    <w:p w14:paraId="5B82A562" w14:textId="77777777" w:rsidR="00DA699A" w:rsidRDefault="00DA699A" w:rsidP="00782D1D">
      <w:pPr>
        <w:rPr>
          <w:sz w:val="24"/>
          <w:szCs w:val="24"/>
        </w:rPr>
      </w:pPr>
      <w:r>
        <w:rPr>
          <w:sz w:val="24"/>
          <w:szCs w:val="24"/>
        </w:rPr>
        <w:t>System Identification:</w:t>
      </w:r>
    </w:p>
    <w:p w14:paraId="59C8496D" w14:textId="05CF8945" w:rsidR="00782D1D" w:rsidRPr="00782D1D" w:rsidRDefault="00C5788B" w:rsidP="00DA699A">
      <w:pPr>
        <w:spacing w:after="360"/>
        <w:rPr>
          <w:sz w:val="24"/>
          <w:szCs w:val="24"/>
        </w:rPr>
      </w:pPr>
      <w:r>
        <w:pict w14:anchorId="48FBFAC1">
          <v:rect id="_x0000_i1037" style="width:0;height:1.5pt" o:hralign="center" o:hrstd="t" o:hr="t" fillcolor="#a0a0a0" stroked="f"/>
        </w:pict>
      </w:r>
    </w:p>
    <w:p w14:paraId="0A1FB873" w14:textId="77777777" w:rsidR="00DA699A" w:rsidRDefault="00782D1D" w:rsidP="00782D1D">
      <w:pPr>
        <w:rPr>
          <w:sz w:val="24"/>
          <w:szCs w:val="24"/>
        </w:rPr>
      </w:pPr>
      <w:r w:rsidRPr="00782D1D">
        <w:rPr>
          <w:sz w:val="24"/>
          <w:szCs w:val="24"/>
        </w:rPr>
        <w:t>Inspection Location:</w:t>
      </w:r>
    </w:p>
    <w:p w14:paraId="4CA5FA57" w14:textId="27F75A57" w:rsidR="00782D1D" w:rsidRPr="00782D1D" w:rsidRDefault="00C5788B" w:rsidP="00DA699A">
      <w:pPr>
        <w:spacing w:after="360"/>
        <w:rPr>
          <w:sz w:val="24"/>
          <w:szCs w:val="24"/>
        </w:rPr>
      </w:pPr>
      <w:r>
        <w:pict w14:anchorId="2CF401D7">
          <v:rect id="_x0000_i1038" style="width:0;height:1.5pt" o:hralign="center" o:hrstd="t" o:hr="t" fillcolor="#a0a0a0" stroked="f"/>
        </w:pict>
      </w:r>
    </w:p>
    <w:p w14:paraId="510C0869" w14:textId="77777777" w:rsidR="00DA699A" w:rsidRDefault="00782D1D" w:rsidP="00782D1D">
      <w:pPr>
        <w:rPr>
          <w:sz w:val="24"/>
          <w:szCs w:val="24"/>
        </w:rPr>
      </w:pPr>
      <w:r w:rsidRPr="00782D1D">
        <w:rPr>
          <w:sz w:val="24"/>
          <w:szCs w:val="24"/>
        </w:rPr>
        <w:t>Date:</w:t>
      </w:r>
    </w:p>
    <w:p w14:paraId="6E81DF6D" w14:textId="412B2AAF" w:rsidR="00782D1D" w:rsidRPr="00782D1D" w:rsidRDefault="00C5788B" w:rsidP="00DA699A">
      <w:pPr>
        <w:spacing w:after="360"/>
        <w:rPr>
          <w:sz w:val="24"/>
          <w:szCs w:val="24"/>
        </w:rPr>
      </w:pPr>
      <w:r>
        <w:pict w14:anchorId="12577B8A">
          <v:rect id="_x0000_i1039" style="width:0;height:1.5pt" o:hralign="center" o:hrstd="t" o:hr="t" fillcolor="#a0a0a0" stroked="f"/>
        </w:pict>
      </w:r>
    </w:p>
    <w:p w14:paraId="21331768" w14:textId="77777777" w:rsidR="00DA699A" w:rsidRDefault="00782D1D" w:rsidP="00782D1D">
      <w:pPr>
        <w:rPr>
          <w:sz w:val="24"/>
          <w:szCs w:val="24"/>
        </w:rPr>
      </w:pPr>
      <w:r w:rsidRPr="00782D1D">
        <w:rPr>
          <w:sz w:val="24"/>
          <w:szCs w:val="24"/>
        </w:rPr>
        <w:t>In</w:t>
      </w:r>
      <w:r w:rsidR="00DA699A">
        <w:rPr>
          <w:sz w:val="24"/>
          <w:szCs w:val="24"/>
        </w:rPr>
        <w:t>spector:</w:t>
      </w:r>
    </w:p>
    <w:p w14:paraId="523B2E30" w14:textId="3FD0BA7F" w:rsidR="00782D1D" w:rsidRPr="00782D1D" w:rsidRDefault="00C5788B" w:rsidP="00DA699A">
      <w:pPr>
        <w:spacing w:after="360"/>
        <w:rPr>
          <w:sz w:val="24"/>
          <w:szCs w:val="24"/>
        </w:rPr>
      </w:pPr>
      <w:r>
        <w:pict w14:anchorId="55808DE7">
          <v:rect id="_x0000_i1040" style="width:0;height:1.5pt" o:hralign="center" o:hrstd="t" o:hr="t" fillcolor="#a0a0a0" stroked="f"/>
        </w:pict>
      </w:r>
    </w:p>
    <w:p w14:paraId="22FD4869" w14:textId="77777777" w:rsidR="00DA699A" w:rsidRPr="00DA699A" w:rsidRDefault="00782D1D" w:rsidP="00782D1D">
      <w:pPr>
        <w:rPr>
          <w:b/>
          <w:sz w:val="24"/>
          <w:szCs w:val="24"/>
        </w:rPr>
      </w:pPr>
      <w:r w:rsidRPr="00DA699A">
        <w:rPr>
          <w:b/>
          <w:sz w:val="24"/>
          <w:szCs w:val="24"/>
        </w:rPr>
        <w:t>Drums</w:t>
      </w:r>
    </w:p>
    <w:p w14:paraId="032278E8" w14:textId="2C8DFDCD" w:rsidR="00DA699A" w:rsidRDefault="00DA699A" w:rsidP="00782D1D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E4E6282" wp14:editId="4BBA901E">
            <wp:extent cx="6391275" cy="5192911"/>
            <wp:effectExtent l="0" t="0" r="0" b="8255"/>
            <wp:docPr id="4" name="Picture 4" descr="Mix transfer&#10;" title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x_transfer_very_larg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877" cy="5202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FF216" w14:textId="793B349C" w:rsidR="00FA76E4" w:rsidRPr="00FA76E4" w:rsidRDefault="00FA76E4" w:rsidP="00FA76E4">
      <w:pPr>
        <w:pStyle w:val="Heading2"/>
        <w:jc w:val="center"/>
        <w:rPr>
          <w:sz w:val="24"/>
          <w:szCs w:val="24"/>
        </w:rPr>
      </w:pPr>
      <w:r w:rsidRPr="00FA76E4">
        <w:rPr>
          <w:sz w:val="24"/>
          <w:szCs w:val="24"/>
        </w:rPr>
        <w:lastRenderedPageBreak/>
        <w:t>MIX-TRANSFER SYSTEM INSPECTION CHECKLIST (Continued)</w:t>
      </w:r>
    </w:p>
    <w:p w14:paraId="4B01555A" w14:textId="6DB9C57B" w:rsidR="00FA76E4" w:rsidRPr="00FA76E4" w:rsidRDefault="00FA76E4" w:rsidP="00FA76E4">
      <w:pPr>
        <w:spacing w:after="360"/>
        <w:rPr>
          <w:sz w:val="24"/>
          <w:szCs w:val="24"/>
        </w:rPr>
      </w:pPr>
      <w:r>
        <w:t>_______</w:t>
      </w:r>
      <w:r w:rsidRPr="00FA76E4">
        <w:rPr>
          <w:sz w:val="24"/>
          <w:szCs w:val="24"/>
        </w:rPr>
        <w:t>DOT Specification Drums</w:t>
      </w:r>
    </w:p>
    <w:p w14:paraId="0D344699" w14:textId="252856DB" w:rsidR="00FA76E4" w:rsidRPr="00FA76E4" w:rsidRDefault="00FA76E4" w:rsidP="00FA76E4">
      <w:pPr>
        <w:ind w:firstLine="720"/>
        <w:rPr>
          <w:sz w:val="24"/>
          <w:szCs w:val="24"/>
        </w:rPr>
      </w:pPr>
      <w:r w:rsidRPr="00FA76E4">
        <w:rPr>
          <w:sz w:val="24"/>
          <w:szCs w:val="24"/>
        </w:rPr>
        <w:t xml:space="preserve">“Flammable Liquid” Label, “UN 1203” Marking, “Gasoline” marking and Exemption Number </w:t>
      </w:r>
    </w:p>
    <w:p w14:paraId="72547076" w14:textId="13A5CAC8" w:rsidR="00FA76E4" w:rsidRPr="00FA76E4" w:rsidRDefault="00FA76E4" w:rsidP="00FA76E4">
      <w:pPr>
        <w:spacing w:after="360"/>
        <w:rPr>
          <w:sz w:val="24"/>
          <w:szCs w:val="24"/>
        </w:rPr>
      </w:pPr>
      <w:r>
        <w:t>_______</w:t>
      </w:r>
      <w:r w:rsidR="00C93CE2">
        <w:t xml:space="preserve"> </w:t>
      </w:r>
      <w:r w:rsidRPr="00FA76E4">
        <w:rPr>
          <w:sz w:val="24"/>
          <w:szCs w:val="24"/>
        </w:rPr>
        <w:t>(As Required) Applied to Each Drum</w:t>
      </w:r>
    </w:p>
    <w:p w14:paraId="2C36DDCA" w14:textId="20EC53A5" w:rsidR="00FA76E4" w:rsidRPr="00FA76E4" w:rsidRDefault="00FA76E4" w:rsidP="00FA76E4">
      <w:pPr>
        <w:spacing w:after="360"/>
        <w:rPr>
          <w:sz w:val="24"/>
          <w:szCs w:val="24"/>
        </w:rPr>
      </w:pPr>
      <w:r>
        <w:t>_______</w:t>
      </w:r>
      <w:r w:rsidRPr="00FA76E4">
        <w:rPr>
          <w:sz w:val="24"/>
          <w:szCs w:val="24"/>
        </w:rPr>
        <w:t>2” Male Cam &amp; Groove Fitting Installed for Vapor Removal/</w:t>
      </w:r>
      <w:r w:rsidR="00407629" w:rsidRPr="00FA76E4">
        <w:rPr>
          <w:sz w:val="24"/>
          <w:szCs w:val="24"/>
        </w:rPr>
        <w:t>Recovery (</w:t>
      </w:r>
      <w:r w:rsidRPr="00FA76E4">
        <w:rPr>
          <w:sz w:val="24"/>
          <w:szCs w:val="24"/>
        </w:rPr>
        <w:t>Per Sketch)</w:t>
      </w:r>
    </w:p>
    <w:p w14:paraId="4FE762E7" w14:textId="1C007166" w:rsidR="00FA76E4" w:rsidRPr="00FA76E4" w:rsidRDefault="00FA76E4" w:rsidP="00FA76E4">
      <w:pPr>
        <w:ind w:firstLine="810"/>
        <w:rPr>
          <w:sz w:val="24"/>
          <w:szCs w:val="24"/>
        </w:rPr>
      </w:pPr>
      <w:r w:rsidRPr="00FA76E4">
        <w:rPr>
          <w:sz w:val="24"/>
          <w:szCs w:val="24"/>
        </w:rPr>
        <w:t xml:space="preserve">2” Male Cam &amp; Groove Fitting Installed for Gelling Agent Dispenser and Gasoline Fill Port </w:t>
      </w:r>
    </w:p>
    <w:p w14:paraId="34771864" w14:textId="7773E23D" w:rsidR="00FA76E4" w:rsidRPr="00FA76E4" w:rsidRDefault="00FA76E4" w:rsidP="00FA76E4">
      <w:pPr>
        <w:spacing w:after="360"/>
        <w:rPr>
          <w:sz w:val="24"/>
          <w:szCs w:val="24"/>
        </w:rPr>
      </w:pPr>
      <w:r>
        <w:t>_______</w:t>
      </w:r>
      <w:r w:rsidR="00C93CE2">
        <w:t xml:space="preserve"> </w:t>
      </w:r>
      <w:r w:rsidRPr="00FA76E4">
        <w:rPr>
          <w:sz w:val="24"/>
          <w:szCs w:val="24"/>
        </w:rPr>
        <w:t>(Per Sketch)</w:t>
      </w:r>
    </w:p>
    <w:p w14:paraId="1C3958C7" w14:textId="00140BEA" w:rsidR="00FA76E4" w:rsidRPr="00FA76E4" w:rsidRDefault="00FA76E4" w:rsidP="00FA76E4">
      <w:pPr>
        <w:spacing w:after="360"/>
        <w:ind w:firstLine="810"/>
        <w:rPr>
          <w:sz w:val="24"/>
          <w:szCs w:val="24"/>
        </w:rPr>
      </w:pPr>
      <w:r w:rsidRPr="00FA76E4">
        <w:rPr>
          <w:sz w:val="24"/>
          <w:szCs w:val="24"/>
        </w:rPr>
        <w:t xml:space="preserve">Relief Valve Installed and Mounted on Cam and Groove Fittings to Prevent Clogging of Valve </w:t>
      </w:r>
      <w:r>
        <w:t xml:space="preserve">_______ </w:t>
      </w:r>
      <w:r w:rsidRPr="00FA76E4">
        <w:rPr>
          <w:sz w:val="24"/>
          <w:szCs w:val="24"/>
        </w:rPr>
        <w:t>by Gel (Per Sketch)</w:t>
      </w:r>
    </w:p>
    <w:p w14:paraId="738EDB40" w14:textId="50B4A200" w:rsidR="00FA76E4" w:rsidRPr="00FA76E4" w:rsidRDefault="00FA76E4" w:rsidP="00FA76E4">
      <w:pPr>
        <w:spacing w:after="360"/>
        <w:rPr>
          <w:sz w:val="24"/>
          <w:szCs w:val="24"/>
        </w:rPr>
      </w:pPr>
      <w:r>
        <w:t>_______</w:t>
      </w:r>
      <w:r w:rsidRPr="00FA76E4">
        <w:rPr>
          <w:sz w:val="24"/>
          <w:szCs w:val="24"/>
        </w:rPr>
        <w:t xml:space="preserve">Cam and Groove Fitting Levers Secured </w:t>
      </w:r>
      <w:r w:rsidR="00407629" w:rsidRPr="00FA76E4">
        <w:rPr>
          <w:sz w:val="24"/>
          <w:szCs w:val="24"/>
        </w:rPr>
        <w:t>with</w:t>
      </w:r>
      <w:r w:rsidRPr="00FA76E4">
        <w:rPr>
          <w:sz w:val="24"/>
          <w:szCs w:val="24"/>
        </w:rPr>
        <w:t xml:space="preserve"> Safety Pins or Self Locking Levers Installed</w:t>
      </w:r>
    </w:p>
    <w:p w14:paraId="36EA135B" w14:textId="77777777" w:rsidR="00FA76E4" w:rsidRDefault="00FA76E4" w:rsidP="00FA76E4">
      <w:pPr>
        <w:ind w:firstLine="810"/>
        <w:rPr>
          <w:sz w:val="24"/>
          <w:szCs w:val="24"/>
        </w:rPr>
      </w:pPr>
      <w:r w:rsidRPr="00FA76E4">
        <w:rPr>
          <w:sz w:val="24"/>
          <w:szCs w:val="24"/>
        </w:rPr>
        <w:t>2” Emco Wheaton Dry Break Adapter Installed for Pu</w:t>
      </w:r>
      <w:r>
        <w:rPr>
          <w:sz w:val="24"/>
          <w:szCs w:val="24"/>
        </w:rPr>
        <w:t>mp Discharge and Pump</w:t>
      </w:r>
    </w:p>
    <w:p w14:paraId="605D3283" w14:textId="75AC9F86" w:rsidR="00FA76E4" w:rsidRPr="00FA76E4" w:rsidRDefault="00FA76E4" w:rsidP="00FA76E4">
      <w:pPr>
        <w:spacing w:after="360"/>
        <w:rPr>
          <w:sz w:val="24"/>
          <w:szCs w:val="24"/>
        </w:rPr>
      </w:pPr>
      <w:r>
        <w:t>_______</w:t>
      </w:r>
      <w:r>
        <w:rPr>
          <w:sz w:val="24"/>
          <w:szCs w:val="24"/>
        </w:rPr>
        <w:t xml:space="preserve"> Suction </w:t>
      </w:r>
      <w:r w:rsidRPr="00FA76E4">
        <w:rPr>
          <w:sz w:val="24"/>
          <w:szCs w:val="24"/>
        </w:rPr>
        <w:t>Connections (Per Sketch)</w:t>
      </w:r>
    </w:p>
    <w:p w14:paraId="107B3985" w14:textId="520CFBCF" w:rsidR="00FA76E4" w:rsidRPr="00FA76E4" w:rsidRDefault="00FA76E4" w:rsidP="00FA76E4">
      <w:pPr>
        <w:spacing w:after="360"/>
        <w:rPr>
          <w:sz w:val="24"/>
          <w:szCs w:val="24"/>
        </w:rPr>
      </w:pPr>
      <w:r>
        <w:t>_______</w:t>
      </w:r>
      <w:r w:rsidRPr="00FA76E4">
        <w:rPr>
          <w:sz w:val="24"/>
          <w:szCs w:val="24"/>
        </w:rPr>
        <w:t>Bonding Lugs Installed on Pump Discharge Dry Breaks</w:t>
      </w:r>
    </w:p>
    <w:p w14:paraId="4BD97C4B" w14:textId="44D4AF93" w:rsidR="00FA76E4" w:rsidRPr="00FA76E4" w:rsidRDefault="00FA76E4" w:rsidP="00FA76E4">
      <w:pPr>
        <w:spacing w:after="360"/>
        <w:rPr>
          <w:sz w:val="24"/>
          <w:szCs w:val="24"/>
        </w:rPr>
      </w:pPr>
      <w:r>
        <w:t>_______</w:t>
      </w:r>
      <w:r w:rsidRPr="00FA76E4">
        <w:rPr>
          <w:sz w:val="24"/>
          <w:szCs w:val="24"/>
        </w:rPr>
        <w:t xml:space="preserve">Sight Glass Installed to Determine Fuel Level in Drum </w:t>
      </w:r>
      <w:r w:rsidR="00407629" w:rsidRPr="00FA76E4">
        <w:rPr>
          <w:sz w:val="24"/>
          <w:szCs w:val="24"/>
        </w:rPr>
        <w:t>per</w:t>
      </w:r>
      <w:r w:rsidRPr="00FA76E4">
        <w:rPr>
          <w:sz w:val="24"/>
          <w:szCs w:val="24"/>
        </w:rPr>
        <w:t xml:space="preserve"> Sketch</w:t>
      </w:r>
    </w:p>
    <w:p w14:paraId="2B65D3B0" w14:textId="2CEEFF0E" w:rsidR="00FA76E4" w:rsidRPr="00FA76E4" w:rsidRDefault="00FA76E4" w:rsidP="00FA76E4">
      <w:pPr>
        <w:spacing w:after="240"/>
        <w:rPr>
          <w:sz w:val="24"/>
          <w:szCs w:val="24"/>
        </w:rPr>
      </w:pPr>
      <w:r>
        <w:t>_______</w:t>
      </w:r>
      <w:r w:rsidRPr="00FA76E4">
        <w:rPr>
          <w:sz w:val="24"/>
          <w:szCs w:val="24"/>
        </w:rPr>
        <w:t>Drum is Not Damaged and No</w:t>
      </w:r>
      <w:r>
        <w:rPr>
          <w:sz w:val="24"/>
          <w:szCs w:val="24"/>
        </w:rPr>
        <w:t xml:space="preserve"> Leakage is Visually Detectable</w:t>
      </w:r>
    </w:p>
    <w:p w14:paraId="6E4A6221" w14:textId="10A75706" w:rsidR="00FA76E4" w:rsidRPr="00FA76E4" w:rsidRDefault="00FA76E4" w:rsidP="00FA76E4">
      <w:pPr>
        <w:spacing w:after="1800"/>
        <w:rPr>
          <w:sz w:val="24"/>
          <w:szCs w:val="24"/>
        </w:rPr>
      </w:pPr>
      <w:r w:rsidRPr="00FA76E4">
        <w:rPr>
          <w:sz w:val="24"/>
          <w:szCs w:val="24"/>
        </w:rPr>
        <w:t>Comments:</w:t>
      </w:r>
    </w:p>
    <w:p w14:paraId="37A86F31" w14:textId="75BB7C1A" w:rsidR="00FA76E4" w:rsidRPr="00FA76E4" w:rsidRDefault="00FA76E4" w:rsidP="00FA76E4">
      <w:pPr>
        <w:rPr>
          <w:b/>
          <w:sz w:val="24"/>
          <w:szCs w:val="24"/>
        </w:rPr>
      </w:pPr>
      <w:r w:rsidRPr="00FA76E4">
        <w:rPr>
          <w:b/>
          <w:sz w:val="24"/>
          <w:szCs w:val="24"/>
        </w:rPr>
        <w:t>Engine Installation</w:t>
      </w:r>
    </w:p>
    <w:p w14:paraId="4D91C928" w14:textId="70E0CB0E" w:rsidR="00FA76E4" w:rsidRPr="00FA76E4" w:rsidRDefault="00FA76E4" w:rsidP="00FA76E4">
      <w:pPr>
        <w:spacing w:before="240" w:after="240"/>
        <w:rPr>
          <w:sz w:val="24"/>
          <w:szCs w:val="24"/>
        </w:rPr>
      </w:pPr>
      <w:r>
        <w:t>_______</w:t>
      </w:r>
      <w:r w:rsidRPr="00FA76E4">
        <w:rPr>
          <w:sz w:val="24"/>
          <w:szCs w:val="24"/>
        </w:rPr>
        <w:t>Shielding Installed Between Pump and Engine to Prevent L</w:t>
      </w:r>
      <w:r>
        <w:rPr>
          <w:sz w:val="24"/>
          <w:szCs w:val="24"/>
        </w:rPr>
        <w:t xml:space="preserve">eaks </w:t>
      </w:r>
      <w:r w:rsidR="00407629">
        <w:rPr>
          <w:sz w:val="24"/>
          <w:szCs w:val="24"/>
        </w:rPr>
        <w:t>from</w:t>
      </w:r>
      <w:r>
        <w:rPr>
          <w:sz w:val="24"/>
          <w:szCs w:val="24"/>
        </w:rPr>
        <w:t xml:space="preserve"> Contacting Hot Engine</w:t>
      </w:r>
    </w:p>
    <w:p w14:paraId="3D751A47" w14:textId="426B021C" w:rsidR="00FA76E4" w:rsidRPr="00FA76E4" w:rsidRDefault="00FA76E4" w:rsidP="00FA76E4">
      <w:pPr>
        <w:rPr>
          <w:sz w:val="24"/>
          <w:szCs w:val="24"/>
        </w:rPr>
      </w:pPr>
      <w:r w:rsidRPr="00FA76E4">
        <w:rPr>
          <w:sz w:val="24"/>
          <w:szCs w:val="24"/>
        </w:rPr>
        <w:t>Comments:</w:t>
      </w:r>
    </w:p>
    <w:p w14:paraId="676BEC61" w14:textId="77777777" w:rsidR="00314E5A" w:rsidRDefault="00314E5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A6DDA81" w14:textId="77777777" w:rsidR="00314E5A" w:rsidRPr="00314E5A" w:rsidRDefault="00314E5A" w:rsidP="00314E5A">
      <w:pPr>
        <w:pStyle w:val="Heading2"/>
        <w:jc w:val="center"/>
        <w:rPr>
          <w:sz w:val="24"/>
          <w:szCs w:val="24"/>
        </w:rPr>
      </w:pPr>
      <w:r w:rsidRPr="00314E5A">
        <w:rPr>
          <w:sz w:val="24"/>
          <w:szCs w:val="24"/>
        </w:rPr>
        <w:lastRenderedPageBreak/>
        <w:t>MIX-TRANSFER SYSTEM INSPECTION CHECKLIST (Continued)</w:t>
      </w:r>
    </w:p>
    <w:p w14:paraId="63647D53" w14:textId="77777777" w:rsidR="00314E5A" w:rsidRPr="00314E5A" w:rsidRDefault="00314E5A" w:rsidP="00314E5A">
      <w:pPr>
        <w:rPr>
          <w:b/>
          <w:sz w:val="24"/>
          <w:szCs w:val="24"/>
        </w:rPr>
      </w:pPr>
      <w:r w:rsidRPr="00314E5A">
        <w:rPr>
          <w:b/>
          <w:sz w:val="24"/>
          <w:szCs w:val="24"/>
        </w:rPr>
        <w:t>Hoses</w:t>
      </w:r>
    </w:p>
    <w:p w14:paraId="326A404F" w14:textId="56BE2D85" w:rsidR="00314E5A" w:rsidRPr="00314E5A" w:rsidRDefault="00314E5A" w:rsidP="00314E5A">
      <w:pPr>
        <w:spacing w:before="240" w:after="240"/>
        <w:rPr>
          <w:sz w:val="24"/>
          <w:szCs w:val="24"/>
        </w:rPr>
      </w:pPr>
      <w:r>
        <w:t>_______</w:t>
      </w:r>
      <w:r w:rsidRPr="00314E5A">
        <w:rPr>
          <w:sz w:val="24"/>
          <w:szCs w:val="24"/>
        </w:rPr>
        <w:t xml:space="preserve">Hoses Designed for Use </w:t>
      </w:r>
      <w:r w:rsidR="00407629" w:rsidRPr="00314E5A">
        <w:rPr>
          <w:sz w:val="24"/>
          <w:szCs w:val="24"/>
        </w:rPr>
        <w:t>with</w:t>
      </w:r>
      <w:r w:rsidRPr="00314E5A">
        <w:rPr>
          <w:sz w:val="24"/>
          <w:szCs w:val="24"/>
        </w:rPr>
        <w:t xml:space="preserve"> Gasoline (Hose Make &amp; Mod</w:t>
      </w:r>
      <w:r>
        <w:rPr>
          <w:sz w:val="24"/>
          <w:szCs w:val="24"/>
        </w:rPr>
        <w:t>el __________________________)</w:t>
      </w:r>
    </w:p>
    <w:p w14:paraId="3131D677" w14:textId="7D33CBA8" w:rsidR="00314E5A" w:rsidRPr="00314E5A" w:rsidRDefault="00314E5A" w:rsidP="00314E5A">
      <w:pPr>
        <w:spacing w:after="240"/>
        <w:rPr>
          <w:sz w:val="24"/>
          <w:szCs w:val="24"/>
        </w:rPr>
      </w:pPr>
      <w:r>
        <w:t>_______</w:t>
      </w:r>
      <w:r w:rsidRPr="00314E5A">
        <w:rPr>
          <w:sz w:val="24"/>
          <w:szCs w:val="24"/>
        </w:rPr>
        <w:t xml:space="preserve">Vapor Recovery/Removal Hose Designed for Use </w:t>
      </w:r>
      <w:r w:rsidR="00407629" w:rsidRPr="00314E5A">
        <w:rPr>
          <w:sz w:val="24"/>
          <w:szCs w:val="24"/>
        </w:rPr>
        <w:t>with</w:t>
      </w:r>
      <w:r w:rsidRPr="00314E5A">
        <w:rPr>
          <w:sz w:val="24"/>
          <w:szCs w:val="24"/>
        </w:rPr>
        <w:t xml:space="preserve"> Gasoline</w:t>
      </w:r>
    </w:p>
    <w:p w14:paraId="15DE5947" w14:textId="4AF9FE66" w:rsidR="00314E5A" w:rsidRPr="00314E5A" w:rsidRDefault="00314E5A" w:rsidP="00314E5A">
      <w:pPr>
        <w:spacing w:after="240"/>
        <w:rPr>
          <w:sz w:val="24"/>
          <w:szCs w:val="24"/>
        </w:rPr>
      </w:pPr>
      <w:r>
        <w:t>_______</w:t>
      </w:r>
      <w:r w:rsidR="00407629" w:rsidRPr="00314E5A">
        <w:rPr>
          <w:sz w:val="24"/>
          <w:szCs w:val="24"/>
        </w:rPr>
        <w:t>Vapor (</w:t>
      </w:r>
      <w:r w:rsidRPr="00314E5A">
        <w:rPr>
          <w:sz w:val="24"/>
          <w:szCs w:val="24"/>
        </w:rPr>
        <w:t>Hose Make &amp; Model ________________________</w:t>
      </w:r>
      <w:r>
        <w:rPr>
          <w:sz w:val="24"/>
          <w:szCs w:val="24"/>
        </w:rPr>
        <w:t>____________________________)</w:t>
      </w:r>
    </w:p>
    <w:p w14:paraId="257C70F4" w14:textId="610C3209" w:rsidR="00314E5A" w:rsidRPr="00314E5A" w:rsidRDefault="00314E5A" w:rsidP="00314E5A">
      <w:pPr>
        <w:spacing w:after="240"/>
        <w:rPr>
          <w:sz w:val="24"/>
          <w:szCs w:val="24"/>
        </w:rPr>
      </w:pPr>
      <w:r>
        <w:t>_______</w:t>
      </w:r>
      <w:r w:rsidRPr="00314E5A">
        <w:rPr>
          <w:sz w:val="24"/>
          <w:szCs w:val="24"/>
        </w:rPr>
        <w:t>Swaged Hose Ends</w:t>
      </w:r>
    </w:p>
    <w:p w14:paraId="2CA06FF9" w14:textId="5E3BA6B9" w:rsidR="00314E5A" w:rsidRPr="00314E5A" w:rsidRDefault="00314E5A" w:rsidP="00314E5A">
      <w:pPr>
        <w:spacing w:after="240"/>
        <w:rPr>
          <w:sz w:val="24"/>
          <w:szCs w:val="24"/>
        </w:rPr>
      </w:pPr>
      <w:r>
        <w:t>_______</w:t>
      </w:r>
      <w:r w:rsidRPr="00314E5A">
        <w:rPr>
          <w:sz w:val="24"/>
          <w:szCs w:val="24"/>
        </w:rPr>
        <w:t>Electrically Conductive</w:t>
      </w:r>
    </w:p>
    <w:p w14:paraId="22169F1B" w14:textId="1364D330" w:rsidR="00314E5A" w:rsidRPr="00314E5A" w:rsidRDefault="00314E5A" w:rsidP="00314E5A">
      <w:pPr>
        <w:spacing w:after="1800"/>
        <w:rPr>
          <w:sz w:val="24"/>
          <w:szCs w:val="24"/>
        </w:rPr>
      </w:pPr>
      <w:r w:rsidRPr="00314E5A">
        <w:rPr>
          <w:sz w:val="24"/>
          <w:szCs w:val="24"/>
        </w:rPr>
        <w:t>Comments:</w:t>
      </w:r>
    </w:p>
    <w:p w14:paraId="09BD61DE" w14:textId="0E0A3C2D" w:rsidR="00314E5A" w:rsidRPr="00314E5A" w:rsidRDefault="00314E5A" w:rsidP="00314E5A">
      <w:pPr>
        <w:rPr>
          <w:b/>
          <w:sz w:val="24"/>
          <w:szCs w:val="24"/>
        </w:rPr>
      </w:pPr>
      <w:r w:rsidRPr="00314E5A">
        <w:rPr>
          <w:b/>
          <w:sz w:val="24"/>
          <w:szCs w:val="24"/>
        </w:rPr>
        <w:t>Pump</w:t>
      </w:r>
    </w:p>
    <w:p w14:paraId="416049E1" w14:textId="0B8E21C2" w:rsidR="00314E5A" w:rsidRPr="00314E5A" w:rsidRDefault="00314E5A" w:rsidP="00314E5A">
      <w:pPr>
        <w:spacing w:before="240" w:after="240"/>
        <w:rPr>
          <w:sz w:val="24"/>
          <w:szCs w:val="24"/>
        </w:rPr>
      </w:pPr>
      <w:r>
        <w:t>_______</w:t>
      </w:r>
      <w:r w:rsidRPr="00314E5A">
        <w:rPr>
          <w:sz w:val="24"/>
          <w:szCs w:val="24"/>
        </w:rPr>
        <w:t xml:space="preserve">Pump Internals are Non-Sparking (Pump Make and Model </w:t>
      </w:r>
      <w:r>
        <w:rPr>
          <w:sz w:val="24"/>
          <w:szCs w:val="24"/>
        </w:rPr>
        <w:t>_____________________________)</w:t>
      </w:r>
    </w:p>
    <w:p w14:paraId="21820D65" w14:textId="1387BB8D" w:rsidR="00314E5A" w:rsidRPr="00314E5A" w:rsidRDefault="00314E5A" w:rsidP="00314E5A">
      <w:pPr>
        <w:spacing w:after="240"/>
        <w:rPr>
          <w:sz w:val="24"/>
          <w:szCs w:val="24"/>
        </w:rPr>
      </w:pPr>
      <w:r>
        <w:t>_______</w:t>
      </w:r>
      <w:r w:rsidRPr="00314E5A">
        <w:rPr>
          <w:sz w:val="24"/>
          <w:szCs w:val="24"/>
        </w:rPr>
        <w:t xml:space="preserve">Pump Seals are Compatible </w:t>
      </w:r>
      <w:r w:rsidR="00407629" w:rsidRPr="00314E5A">
        <w:rPr>
          <w:sz w:val="24"/>
          <w:szCs w:val="24"/>
        </w:rPr>
        <w:t>with</w:t>
      </w:r>
      <w:r w:rsidRPr="00314E5A">
        <w:rPr>
          <w:sz w:val="24"/>
          <w:szCs w:val="24"/>
        </w:rPr>
        <w:t xml:space="preserve"> Gasoline (Viton or Buna N)</w:t>
      </w:r>
    </w:p>
    <w:p w14:paraId="46D79074" w14:textId="68EBD2C6" w:rsidR="00314E5A" w:rsidRPr="00314E5A" w:rsidRDefault="00314E5A" w:rsidP="00314E5A">
      <w:pPr>
        <w:spacing w:after="1800"/>
        <w:rPr>
          <w:sz w:val="24"/>
          <w:szCs w:val="24"/>
        </w:rPr>
      </w:pPr>
      <w:r>
        <w:rPr>
          <w:sz w:val="24"/>
          <w:szCs w:val="24"/>
        </w:rPr>
        <w:t>Comments:</w:t>
      </w:r>
    </w:p>
    <w:p w14:paraId="27156722" w14:textId="6FB54B23" w:rsidR="00314E5A" w:rsidRPr="00314E5A" w:rsidRDefault="00407629" w:rsidP="00314E5A">
      <w:pPr>
        <w:rPr>
          <w:b/>
          <w:sz w:val="24"/>
          <w:szCs w:val="24"/>
        </w:rPr>
      </w:pPr>
      <w:r w:rsidRPr="00314E5A">
        <w:rPr>
          <w:b/>
          <w:sz w:val="24"/>
          <w:szCs w:val="24"/>
        </w:rPr>
        <w:t>Misc.</w:t>
      </w:r>
    </w:p>
    <w:p w14:paraId="6CEE5A0B" w14:textId="03694F3D" w:rsidR="00314E5A" w:rsidRPr="00314E5A" w:rsidRDefault="00314E5A" w:rsidP="00314E5A">
      <w:pPr>
        <w:spacing w:before="240" w:after="240"/>
        <w:rPr>
          <w:sz w:val="24"/>
          <w:szCs w:val="24"/>
        </w:rPr>
      </w:pPr>
      <w:r>
        <w:t>_______</w:t>
      </w:r>
      <w:r w:rsidRPr="00314E5A">
        <w:rPr>
          <w:sz w:val="24"/>
          <w:szCs w:val="24"/>
        </w:rPr>
        <w:t xml:space="preserve">Pressure Gage Isolated </w:t>
      </w:r>
      <w:r w:rsidR="00407629" w:rsidRPr="00314E5A">
        <w:rPr>
          <w:sz w:val="24"/>
          <w:szCs w:val="24"/>
        </w:rPr>
        <w:t>from</w:t>
      </w:r>
      <w:r w:rsidRPr="00314E5A">
        <w:rPr>
          <w:sz w:val="24"/>
          <w:szCs w:val="24"/>
        </w:rPr>
        <w:t xml:space="preserve"> Gel</w:t>
      </w:r>
    </w:p>
    <w:p w14:paraId="40D27796" w14:textId="1565C127" w:rsidR="00314E5A" w:rsidRPr="00314E5A" w:rsidRDefault="00314E5A" w:rsidP="00314E5A">
      <w:pPr>
        <w:spacing w:after="240"/>
        <w:rPr>
          <w:sz w:val="24"/>
          <w:szCs w:val="24"/>
        </w:rPr>
      </w:pPr>
      <w:r>
        <w:t>_______</w:t>
      </w:r>
      <w:r w:rsidRPr="00314E5A">
        <w:rPr>
          <w:sz w:val="24"/>
          <w:szCs w:val="24"/>
        </w:rPr>
        <w:t xml:space="preserve">Valves Labeled </w:t>
      </w:r>
      <w:r w:rsidR="00407629" w:rsidRPr="00314E5A">
        <w:rPr>
          <w:sz w:val="24"/>
          <w:szCs w:val="24"/>
        </w:rPr>
        <w:t>as to</w:t>
      </w:r>
      <w:r>
        <w:rPr>
          <w:sz w:val="24"/>
          <w:szCs w:val="24"/>
        </w:rPr>
        <w:t xml:space="preserve"> Function and Flow Direction</w:t>
      </w:r>
    </w:p>
    <w:p w14:paraId="65428BA8" w14:textId="77777777" w:rsidR="00314E5A" w:rsidRPr="00314E5A" w:rsidRDefault="00314E5A" w:rsidP="00314E5A">
      <w:pPr>
        <w:rPr>
          <w:sz w:val="24"/>
          <w:szCs w:val="24"/>
        </w:rPr>
      </w:pPr>
      <w:r w:rsidRPr="00314E5A">
        <w:rPr>
          <w:sz w:val="24"/>
          <w:szCs w:val="24"/>
        </w:rPr>
        <w:t>Comments:</w:t>
      </w:r>
    </w:p>
    <w:p w14:paraId="4A8D3DDB" w14:textId="0A1A16C7" w:rsidR="009A4577" w:rsidRPr="001A3EF0" w:rsidRDefault="009A4577" w:rsidP="00782D1D">
      <w:pPr>
        <w:rPr>
          <w:rFonts w:eastAsia="Times New Roman"/>
          <w:sz w:val="24"/>
          <w:szCs w:val="24"/>
        </w:rPr>
      </w:pPr>
    </w:p>
    <w:bookmarkEnd w:id="1"/>
    <w:bookmarkEnd w:id="2"/>
    <w:sectPr w:rsidR="009A4577" w:rsidRPr="001A3EF0" w:rsidSect="00B02D9C">
      <w:pgSz w:w="12240" w:h="15840" w:code="1"/>
      <w:pgMar w:top="72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DA985" w14:textId="77777777" w:rsidR="00BF6375" w:rsidRDefault="00BF6375">
      <w:r>
        <w:separator/>
      </w:r>
    </w:p>
  </w:endnote>
  <w:endnote w:type="continuationSeparator" w:id="0">
    <w:p w14:paraId="2813664E" w14:textId="77777777" w:rsidR="00BF6375" w:rsidRDefault="00BF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ADF41" w14:textId="1FC66AFA" w:rsidR="00BF6375" w:rsidRPr="0008045F" w:rsidRDefault="00BF6375" w:rsidP="004F14A0">
    <w:pPr>
      <w:pStyle w:val="Footer"/>
      <w:pBdr>
        <w:top w:val="single" w:sz="12" w:space="2" w:color="auto"/>
      </w:pBdr>
      <w:rPr>
        <w:rFonts w:eastAsiaTheme="majorEastAsia" w:cs="Times New Roman"/>
        <w:bCs/>
        <w:sz w:val="20"/>
      </w:rPr>
    </w:pPr>
    <w:r>
      <w:rPr>
        <w:rFonts w:eastAsiaTheme="majorEastAsia" w:cs="Times New Roman"/>
        <w:sz w:val="20"/>
      </w:rPr>
      <w:t xml:space="preserve">NWCG Standards </w:t>
    </w:r>
    <w:r w:rsidR="00807B72">
      <w:rPr>
        <w:rFonts w:eastAsiaTheme="majorEastAsia" w:cs="Times New Roman"/>
        <w:sz w:val="20"/>
      </w:rPr>
      <w:t>for Aerial Ignition – Appendix C</w:t>
    </w:r>
    <w:r>
      <w:rPr>
        <w:rFonts w:eastAsiaTheme="majorEastAsia" w:cs="Times New Roman"/>
        <w:sz w:val="20"/>
      </w:rPr>
      <w:t xml:space="preserve"> – Torch Inspection</w:t>
    </w:r>
    <w:r w:rsidRPr="003A2621">
      <w:rPr>
        <w:rFonts w:eastAsiaTheme="majorEastAsia" w:cs="Times New Roman"/>
        <w:sz w:val="20"/>
      </w:rPr>
      <w:t xml:space="preserve"> </w:t>
    </w:r>
    <w:r w:rsidRPr="003A2621">
      <w:rPr>
        <w:rFonts w:eastAsiaTheme="majorEastAsia" w:cs="Times New Roman"/>
        <w:sz w:val="20"/>
      </w:rPr>
      <w:ptab w:relativeTo="margin" w:alignment="right" w:leader="none"/>
    </w:r>
    <w:r w:rsidRPr="0008045F">
      <w:rPr>
        <w:rFonts w:eastAsiaTheme="majorEastAsia" w:cs="Times New Roman"/>
        <w:bCs/>
        <w:sz w:val="20"/>
      </w:rPr>
      <w:fldChar w:fldCharType="begin"/>
    </w:r>
    <w:r w:rsidRPr="0008045F">
      <w:rPr>
        <w:rFonts w:eastAsiaTheme="majorEastAsia" w:cs="Times New Roman"/>
        <w:bCs/>
        <w:sz w:val="20"/>
      </w:rPr>
      <w:instrText xml:space="preserve"> PAGE  \* Arabic  \* MERGEFORMAT </w:instrText>
    </w:r>
    <w:r w:rsidRPr="0008045F">
      <w:rPr>
        <w:rFonts w:eastAsiaTheme="majorEastAsia" w:cs="Times New Roman"/>
        <w:bCs/>
        <w:sz w:val="20"/>
      </w:rPr>
      <w:fldChar w:fldCharType="separate"/>
    </w:r>
    <w:r w:rsidR="00C5788B">
      <w:rPr>
        <w:rFonts w:eastAsiaTheme="majorEastAsia" w:cs="Times New Roman"/>
        <w:bCs/>
        <w:noProof/>
        <w:sz w:val="20"/>
      </w:rPr>
      <w:t>4</w:t>
    </w:r>
    <w:r w:rsidRPr="0008045F">
      <w:rPr>
        <w:rFonts w:eastAsiaTheme="majorEastAsia" w:cs="Times New Roman"/>
        <w:bCs/>
        <w:sz w:val="20"/>
      </w:rPr>
      <w:fldChar w:fldCharType="end"/>
    </w:r>
    <w:r w:rsidRPr="0008045F">
      <w:rPr>
        <w:rFonts w:eastAsiaTheme="majorEastAsia" w:cs="Times New Roman"/>
        <w:sz w:val="20"/>
      </w:rPr>
      <w:t xml:space="preserve"> of</w:t>
    </w:r>
    <w:r w:rsidR="00DB19A5">
      <w:rPr>
        <w:rFonts w:eastAsiaTheme="majorEastAsia" w:cs="Times New Roman"/>
        <w:sz w:val="20"/>
      </w:rPr>
      <w:t xml:space="preserve"> 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A70F8" w14:textId="77777777" w:rsidR="00BF6375" w:rsidRDefault="00BF6375">
      <w:r>
        <w:separator/>
      </w:r>
    </w:p>
  </w:footnote>
  <w:footnote w:type="continuationSeparator" w:id="0">
    <w:p w14:paraId="6D3606B9" w14:textId="77777777" w:rsidR="00BF6375" w:rsidRDefault="00BF6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F2CA2EA"/>
    <w:lvl w:ilvl="0">
      <w:start w:val="1"/>
      <w:numFmt w:val="lowerLetter"/>
      <w:pStyle w:val="ListNumber5"/>
      <w:lvlText w:val="%1."/>
      <w:lvlJc w:val="left"/>
      <w:pPr>
        <w:ind w:left="1800" w:hanging="360"/>
      </w:pPr>
    </w:lvl>
  </w:abstractNum>
  <w:abstractNum w:abstractNumId="1" w15:restartNumberingAfterBreak="0">
    <w:nsid w:val="FFFFFF7D"/>
    <w:multiLevelType w:val="singleLevel"/>
    <w:tmpl w:val="ECDEB390"/>
    <w:lvl w:ilvl="0">
      <w:start w:val="1"/>
      <w:numFmt w:val="decimal"/>
      <w:pStyle w:val="ListNumber4"/>
      <w:lvlText w:val="%1."/>
      <w:lvlJc w:val="right"/>
      <w:pPr>
        <w:ind w:left="144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67F24C16"/>
    <w:lvl w:ilvl="0">
      <w:start w:val="1"/>
      <w:numFmt w:val="lowerRoman"/>
      <w:pStyle w:val="ListNumber3"/>
      <w:lvlText w:val="%1."/>
      <w:lvlJc w:val="left"/>
      <w:pPr>
        <w:ind w:left="1080" w:hanging="360"/>
      </w:pPr>
      <w:rPr>
        <w:rFonts w:hint="default"/>
      </w:rPr>
    </w:lvl>
  </w:abstractNum>
  <w:abstractNum w:abstractNumId="3" w15:restartNumberingAfterBreak="0">
    <w:nsid w:val="0239763C"/>
    <w:multiLevelType w:val="hybridMultilevel"/>
    <w:tmpl w:val="DCC051C8"/>
    <w:lvl w:ilvl="0" w:tplc="D7149AB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C3718"/>
    <w:multiLevelType w:val="hybridMultilevel"/>
    <w:tmpl w:val="AA3E7D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F30B77"/>
    <w:multiLevelType w:val="multilevel"/>
    <w:tmpl w:val="F0964F1C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720" w:firstLine="0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2160" w:firstLine="0"/>
      </w:pPr>
      <w:rPr>
        <w:rFonts w:ascii="Wingdings" w:hAnsi="Wingdings" w:hint="default"/>
        <w:sz w:val="24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firstLine="0"/>
      </w:pPr>
      <w:rPr>
        <w:rFonts w:ascii="Wingdings" w:hAnsi="Wingdings" w:hint="default"/>
      </w:rPr>
    </w:lvl>
  </w:abstractNum>
  <w:abstractNum w:abstractNumId="6" w15:restartNumberingAfterBreak="0">
    <w:nsid w:val="0C887269"/>
    <w:multiLevelType w:val="hybridMultilevel"/>
    <w:tmpl w:val="3BFEFE2A"/>
    <w:lvl w:ilvl="0" w:tplc="BA362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C73C6"/>
    <w:multiLevelType w:val="multilevel"/>
    <w:tmpl w:val="5ADAE73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8" w15:restartNumberingAfterBreak="0">
    <w:nsid w:val="11077693"/>
    <w:multiLevelType w:val="multilevel"/>
    <w:tmpl w:val="61D0CA4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720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72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2880" w:hanging="720"/>
      </w:pPr>
      <w:rPr>
        <w:rFonts w:ascii="Wingdings" w:hAnsi="Wingdings" w:hint="default"/>
        <w:sz w:val="24"/>
      </w:rPr>
    </w:lvl>
    <w:lvl w:ilvl="4">
      <w:start w:val="1"/>
      <w:numFmt w:val="bullet"/>
      <w:lvlText w:val="o"/>
      <w:lvlJc w:val="left"/>
      <w:pPr>
        <w:ind w:left="3600" w:hanging="72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72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9" w15:restartNumberingAfterBreak="0">
    <w:nsid w:val="139740A9"/>
    <w:multiLevelType w:val="hybridMultilevel"/>
    <w:tmpl w:val="DCC051C8"/>
    <w:lvl w:ilvl="0" w:tplc="D7149AB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51149"/>
    <w:multiLevelType w:val="hybridMultilevel"/>
    <w:tmpl w:val="3BFEFE2A"/>
    <w:lvl w:ilvl="0" w:tplc="BA362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0A73"/>
    <w:multiLevelType w:val="multilevel"/>
    <w:tmpl w:val="FCDC10EA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2" w15:restartNumberingAfterBreak="0">
    <w:nsid w:val="31BE7387"/>
    <w:multiLevelType w:val="multilevel"/>
    <w:tmpl w:val="0C7432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345975FE"/>
    <w:multiLevelType w:val="hybridMultilevel"/>
    <w:tmpl w:val="A0D0F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C4A19"/>
    <w:multiLevelType w:val="hybridMultilevel"/>
    <w:tmpl w:val="A3EE7420"/>
    <w:lvl w:ilvl="0" w:tplc="BA362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A0A91"/>
    <w:multiLevelType w:val="multilevel"/>
    <w:tmpl w:val="43884DC6"/>
    <w:styleLink w:val="Style1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6" w15:restartNumberingAfterBreak="0">
    <w:nsid w:val="41970F9E"/>
    <w:multiLevelType w:val="multilevel"/>
    <w:tmpl w:val="5344CA60"/>
    <w:lvl w:ilvl="0">
      <w:start w:val="1"/>
      <w:numFmt w:val="decimal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6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62A7A16"/>
    <w:multiLevelType w:val="hybridMultilevel"/>
    <w:tmpl w:val="939AF032"/>
    <w:lvl w:ilvl="0" w:tplc="C82E2F8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A74ED2"/>
    <w:multiLevelType w:val="hybridMultilevel"/>
    <w:tmpl w:val="8A6CC82E"/>
    <w:lvl w:ilvl="0" w:tplc="D7149AB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B506F"/>
    <w:multiLevelType w:val="hybridMultilevel"/>
    <w:tmpl w:val="76201A6C"/>
    <w:lvl w:ilvl="0" w:tplc="CEAC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B7DAC"/>
    <w:multiLevelType w:val="multilevel"/>
    <w:tmpl w:val="768EB910"/>
    <w:styleLink w:val="Multlist"/>
    <w:lvl w:ilvl="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E250B17"/>
    <w:multiLevelType w:val="hybridMultilevel"/>
    <w:tmpl w:val="5CACB62A"/>
    <w:lvl w:ilvl="0" w:tplc="2FBEF5EE">
      <w:start w:val="1"/>
      <w:numFmt w:val="upperLetter"/>
      <w:pStyle w:val="Appendix"/>
      <w:lvlText w:val="Appendix %1 –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w w:val="100"/>
      </w:rPr>
    </w:lvl>
    <w:lvl w:ilvl="1" w:tplc="44003C74" w:tentative="1">
      <w:start w:val="1"/>
      <w:numFmt w:val="lowerLetter"/>
      <w:lvlText w:val="%2."/>
      <w:lvlJc w:val="left"/>
      <w:pPr>
        <w:ind w:left="1440" w:hanging="360"/>
      </w:pPr>
    </w:lvl>
    <w:lvl w:ilvl="2" w:tplc="91D41146" w:tentative="1">
      <w:start w:val="1"/>
      <w:numFmt w:val="lowerRoman"/>
      <w:lvlText w:val="%3."/>
      <w:lvlJc w:val="right"/>
      <w:pPr>
        <w:ind w:left="2160" w:hanging="180"/>
      </w:pPr>
    </w:lvl>
    <w:lvl w:ilvl="3" w:tplc="EF12395C" w:tentative="1">
      <w:start w:val="1"/>
      <w:numFmt w:val="decimal"/>
      <w:lvlText w:val="%4."/>
      <w:lvlJc w:val="left"/>
      <w:pPr>
        <w:ind w:left="2880" w:hanging="360"/>
      </w:pPr>
    </w:lvl>
    <w:lvl w:ilvl="4" w:tplc="E1340260" w:tentative="1">
      <w:start w:val="1"/>
      <w:numFmt w:val="lowerLetter"/>
      <w:lvlText w:val="%5."/>
      <w:lvlJc w:val="left"/>
      <w:pPr>
        <w:ind w:left="3600" w:hanging="360"/>
      </w:pPr>
    </w:lvl>
    <w:lvl w:ilvl="5" w:tplc="8190F838" w:tentative="1">
      <w:start w:val="1"/>
      <w:numFmt w:val="lowerRoman"/>
      <w:lvlText w:val="%6."/>
      <w:lvlJc w:val="right"/>
      <w:pPr>
        <w:ind w:left="4320" w:hanging="180"/>
      </w:pPr>
    </w:lvl>
    <w:lvl w:ilvl="6" w:tplc="33B6224E" w:tentative="1">
      <w:start w:val="1"/>
      <w:numFmt w:val="decimal"/>
      <w:lvlText w:val="%7."/>
      <w:lvlJc w:val="left"/>
      <w:pPr>
        <w:ind w:left="5040" w:hanging="360"/>
      </w:pPr>
    </w:lvl>
    <w:lvl w:ilvl="7" w:tplc="515CB8FC" w:tentative="1">
      <w:start w:val="1"/>
      <w:numFmt w:val="lowerLetter"/>
      <w:lvlText w:val="%8."/>
      <w:lvlJc w:val="left"/>
      <w:pPr>
        <w:ind w:left="5760" w:hanging="360"/>
      </w:pPr>
    </w:lvl>
    <w:lvl w:ilvl="8" w:tplc="45A2D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F5501"/>
    <w:multiLevelType w:val="hybridMultilevel"/>
    <w:tmpl w:val="54385E74"/>
    <w:lvl w:ilvl="0" w:tplc="E77AED2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A5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D790730"/>
    <w:multiLevelType w:val="hybridMultilevel"/>
    <w:tmpl w:val="BBB49EAE"/>
    <w:lvl w:ilvl="0" w:tplc="008072E2">
      <w:start w:val="1"/>
      <w:numFmt w:val="decimal"/>
      <w:pStyle w:val="ListNumber2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94C41"/>
    <w:multiLevelType w:val="multilevel"/>
    <w:tmpl w:val="F692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215E78"/>
    <w:multiLevelType w:val="multilevel"/>
    <w:tmpl w:val="465CA012"/>
    <w:styleLink w:val="Styl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Times New Roman" w:hAnsi="Times New Roman" w:cs="Courier New" w:hint="default"/>
        <w:sz w:val="24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1"/>
  </w:num>
  <w:num w:numId="5">
    <w:abstractNumId w:val="15"/>
  </w:num>
  <w:num w:numId="6">
    <w:abstractNumId w:val="22"/>
  </w:num>
  <w:num w:numId="7">
    <w:abstractNumId w:val="8"/>
  </w:num>
  <w:num w:numId="8">
    <w:abstractNumId w:val="8"/>
  </w:num>
  <w:num w:numId="9">
    <w:abstractNumId w:val="26"/>
  </w:num>
  <w:num w:numId="10">
    <w:abstractNumId w:val="20"/>
  </w:num>
  <w:num w:numId="11">
    <w:abstractNumId w:val="7"/>
  </w:num>
  <w:num w:numId="12">
    <w:abstractNumId w:val="24"/>
  </w:num>
  <w:num w:numId="13">
    <w:abstractNumId w:val="6"/>
  </w:num>
  <w:num w:numId="14">
    <w:abstractNumId w:val="14"/>
  </w:num>
  <w:num w:numId="15">
    <w:abstractNumId w:val="10"/>
  </w:num>
  <w:num w:numId="16">
    <w:abstractNumId w:val="18"/>
  </w:num>
  <w:num w:numId="17">
    <w:abstractNumId w:val="17"/>
  </w:num>
  <w:num w:numId="18">
    <w:abstractNumId w:val="9"/>
  </w:num>
  <w:num w:numId="19">
    <w:abstractNumId w:val="5"/>
  </w:num>
  <w:num w:numId="20">
    <w:abstractNumId w:val="11"/>
  </w:num>
  <w:num w:numId="21">
    <w:abstractNumId w:val="12"/>
  </w:num>
  <w:num w:numId="22">
    <w:abstractNumId w:val="12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360" w:firstLine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440"/>
          </w:tabs>
          <w:ind w:left="36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7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7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20" w:hanging="360"/>
        </w:pPr>
        <w:rPr>
          <w:rFonts w:hint="default"/>
        </w:rPr>
      </w:lvl>
    </w:lvlOverride>
  </w:num>
  <w:num w:numId="23">
    <w:abstractNumId w:val="23"/>
  </w:num>
  <w:num w:numId="24">
    <w:abstractNumId w:val="16"/>
  </w:num>
  <w:num w:numId="25">
    <w:abstractNumId w:val="3"/>
  </w:num>
  <w:num w:numId="26">
    <w:abstractNumId w:val="13"/>
  </w:num>
  <w:num w:numId="27">
    <w:abstractNumId w:val="19"/>
  </w:num>
  <w:num w:numId="28">
    <w:abstractNumId w:val="4"/>
  </w:num>
  <w:num w:numId="29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9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oNotTrackFormatting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28"/>
    <w:rsid w:val="00000C6A"/>
    <w:rsid w:val="00000F8C"/>
    <w:rsid w:val="00003F41"/>
    <w:rsid w:val="0000425B"/>
    <w:rsid w:val="000069AE"/>
    <w:rsid w:val="00007353"/>
    <w:rsid w:val="00011942"/>
    <w:rsid w:val="00016678"/>
    <w:rsid w:val="00017113"/>
    <w:rsid w:val="000178B4"/>
    <w:rsid w:val="00022135"/>
    <w:rsid w:val="00022307"/>
    <w:rsid w:val="000233A7"/>
    <w:rsid w:val="00023BC8"/>
    <w:rsid w:val="000241FB"/>
    <w:rsid w:val="0002463E"/>
    <w:rsid w:val="000276E2"/>
    <w:rsid w:val="00027BE5"/>
    <w:rsid w:val="000312D3"/>
    <w:rsid w:val="00033004"/>
    <w:rsid w:val="00041F02"/>
    <w:rsid w:val="000446B6"/>
    <w:rsid w:val="00044CE1"/>
    <w:rsid w:val="000455C1"/>
    <w:rsid w:val="00046B2C"/>
    <w:rsid w:val="00046B9A"/>
    <w:rsid w:val="00047B4D"/>
    <w:rsid w:val="0005165F"/>
    <w:rsid w:val="00052812"/>
    <w:rsid w:val="0005639A"/>
    <w:rsid w:val="000626BD"/>
    <w:rsid w:val="000657B0"/>
    <w:rsid w:val="00065A48"/>
    <w:rsid w:val="00072BB5"/>
    <w:rsid w:val="00073CE8"/>
    <w:rsid w:val="00074126"/>
    <w:rsid w:val="00074E6B"/>
    <w:rsid w:val="0008045F"/>
    <w:rsid w:val="00083864"/>
    <w:rsid w:val="000839BB"/>
    <w:rsid w:val="00083C32"/>
    <w:rsid w:val="00084736"/>
    <w:rsid w:val="000877C9"/>
    <w:rsid w:val="000934FD"/>
    <w:rsid w:val="00096BEB"/>
    <w:rsid w:val="000A2227"/>
    <w:rsid w:val="000A35BA"/>
    <w:rsid w:val="000A37DA"/>
    <w:rsid w:val="000A506E"/>
    <w:rsid w:val="000A680A"/>
    <w:rsid w:val="000B0074"/>
    <w:rsid w:val="000B1953"/>
    <w:rsid w:val="000B453D"/>
    <w:rsid w:val="000B48AB"/>
    <w:rsid w:val="000B532F"/>
    <w:rsid w:val="000B6C15"/>
    <w:rsid w:val="000C06AE"/>
    <w:rsid w:val="000C0CD0"/>
    <w:rsid w:val="000C2435"/>
    <w:rsid w:val="000C2C2C"/>
    <w:rsid w:val="000C3DE5"/>
    <w:rsid w:val="000C4904"/>
    <w:rsid w:val="000C4A79"/>
    <w:rsid w:val="000C551B"/>
    <w:rsid w:val="000C5B88"/>
    <w:rsid w:val="000C5D5C"/>
    <w:rsid w:val="000C64BE"/>
    <w:rsid w:val="000C778D"/>
    <w:rsid w:val="000D13E0"/>
    <w:rsid w:val="000D6489"/>
    <w:rsid w:val="000E2050"/>
    <w:rsid w:val="000E28F4"/>
    <w:rsid w:val="000E5862"/>
    <w:rsid w:val="000E62A5"/>
    <w:rsid w:val="000E6415"/>
    <w:rsid w:val="000E6753"/>
    <w:rsid w:val="000E7718"/>
    <w:rsid w:val="000E7917"/>
    <w:rsid w:val="000F11AF"/>
    <w:rsid w:val="000F2A97"/>
    <w:rsid w:val="000F48F5"/>
    <w:rsid w:val="000F5AA5"/>
    <w:rsid w:val="000F6A6D"/>
    <w:rsid w:val="000F7AB2"/>
    <w:rsid w:val="000F7F54"/>
    <w:rsid w:val="0010015E"/>
    <w:rsid w:val="001001DF"/>
    <w:rsid w:val="00100DF9"/>
    <w:rsid w:val="00100EDE"/>
    <w:rsid w:val="001027C8"/>
    <w:rsid w:val="001060D0"/>
    <w:rsid w:val="00112012"/>
    <w:rsid w:val="001130E8"/>
    <w:rsid w:val="00114191"/>
    <w:rsid w:val="0012000F"/>
    <w:rsid w:val="00126524"/>
    <w:rsid w:val="00127961"/>
    <w:rsid w:val="00131DF2"/>
    <w:rsid w:val="001322A7"/>
    <w:rsid w:val="00133160"/>
    <w:rsid w:val="001359F4"/>
    <w:rsid w:val="00140CA7"/>
    <w:rsid w:val="001424B3"/>
    <w:rsid w:val="00146E63"/>
    <w:rsid w:val="00153866"/>
    <w:rsid w:val="00154939"/>
    <w:rsid w:val="00155380"/>
    <w:rsid w:val="0016200E"/>
    <w:rsid w:val="00162F91"/>
    <w:rsid w:val="00163482"/>
    <w:rsid w:val="0016557E"/>
    <w:rsid w:val="0016627C"/>
    <w:rsid w:val="00170BC3"/>
    <w:rsid w:val="00172A57"/>
    <w:rsid w:val="001744A1"/>
    <w:rsid w:val="00174808"/>
    <w:rsid w:val="001749C9"/>
    <w:rsid w:val="00174BD6"/>
    <w:rsid w:val="00180487"/>
    <w:rsid w:val="00180E3F"/>
    <w:rsid w:val="001835F2"/>
    <w:rsid w:val="00185D1E"/>
    <w:rsid w:val="001916D5"/>
    <w:rsid w:val="0019262A"/>
    <w:rsid w:val="00192CDD"/>
    <w:rsid w:val="00195B0F"/>
    <w:rsid w:val="001960FE"/>
    <w:rsid w:val="001963EC"/>
    <w:rsid w:val="001970FD"/>
    <w:rsid w:val="0019781D"/>
    <w:rsid w:val="001A2B50"/>
    <w:rsid w:val="001A33FB"/>
    <w:rsid w:val="001A3EF0"/>
    <w:rsid w:val="001A57C2"/>
    <w:rsid w:val="001A7D50"/>
    <w:rsid w:val="001B1C71"/>
    <w:rsid w:val="001C17F9"/>
    <w:rsid w:val="001C2FA4"/>
    <w:rsid w:val="001C6B9C"/>
    <w:rsid w:val="001C6E93"/>
    <w:rsid w:val="001C78CF"/>
    <w:rsid w:val="001D4832"/>
    <w:rsid w:val="001D6937"/>
    <w:rsid w:val="001D790D"/>
    <w:rsid w:val="001E1461"/>
    <w:rsid w:val="001E1D3D"/>
    <w:rsid w:val="001E2FBE"/>
    <w:rsid w:val="001E3B53"/>
    <w:rsid w:val="001F149F"/>
    <w:rsid w:val="001F1775"/>
    <w:rsid w:val="001F2803"/>
    <w:rsid w:val="001F4137"/>
    <w:rsid w:val="002004C5"/>
    <w:rsid w:val="00200D1D"/>
    <w:rsid w:val="002031C9"/>
    <w:rsid w:val="00203400"/>
    <w:rsid w:val="002052FD"/>
    <w:rsid w:val="00207F0B"/>
    <w:rsid w:val="002104EB"/>
    <w:rsid w:val="00210CDB"/>
    <w:rsid w:val="00210E01"/>
    <w:rsid w:val="00210E45"/>
    <w:rsid w:val="00212F3E"/>
    <w:rsid w:val="002135AF"/>
    <w:rsid w:val="00213800"/>
    <w:rsid w:val="00215020"/>
    <w:rsid w:val="00215316"/>
    <w:rsid w:val="0021723F"/>
    <w:rsid w:val="0022234F"/>
    <w:rsid w:val="0022588D"/>
    <w:rsid w:val="002264BE"/>
    <w:rsid w:val="00226D33"/>
    <w:rsid w:val="00227406"/>
    <w:rsid w:val="00232DA7"/>
    <w:rsid w:val="0023380C"/>
    <w:rsid w:val="002338D8"/>
    <w:rsid w:val="0023794D"/>
    <w:rsid w:val="00237B09"/>
    <w:rsid w:val="002401E6"/>
    <w:rsid w:val="00240531"/>
    <w:rsid w:val="00241A99"/>
    <w:rsid w:val="0024326E"/>
    <w:rsid w:val="002448A9"/>
    <w:rsid w:val="00246E4C"/>
    <w:rsid w:val="00247F32"/>
    <w:rsid w:val="00250763"/>
    <w:rsid w:val="00250767"/>
    <w:rsid w:val="00252895"/>
    <w:rsid w:val="00255E54"/>
    <w:rsid w:val="0025791D"/>
    <w:rsid w:val="00257C9C"/>
    <w:rsid w:val="00260831"/>
    <w:rsid w:val="00265C8E"/>
    <w:rsid w:val="00267253"/>
    <w:rsid w:val="00267476"/>
    <w:rsid w:val="00271711"/>
    <w:rsid w:val="002757DC"/>
    <w:rsid w:val="00281D3F"/>
    <w:rsid w:val="00281E4E"/>
    <w:rsid w:val="00281F05"/>
    <w:rsid w:val="002822D4"/>
    <w:rsid w:val="00282C34"/>
    <w:rsid w:val="00283772"/>
    <w:rsid w:val="002867ED"/>
    <w:rsid w:val="00290929"/>
    <w:rsid w:val="00290A92"/>
    <w:rsid w:val="00290B2C"/>
    <w:rsid w:val="00290D59"/>
    <w:rsid w:val="00291DF5"/>
    <w:rsid w:val="00293BA7"/>
    <w:rsid w:val="00295A7C"/>
    <w:rsid w:val="00297F8F"/>
    <w:rsid w:val="002A1998"/>
    <w:rsid w:val="002A2BA7"/>
    <w:rsid w:val="002A3C22"/>
    <w:rsid w:val="002A46E8"/>
    <w:rsid w:val="002A78C4"/>
    <w:rsid w:val="002B0A0C"/>
    <w:rsid w:val="002B1762"/>
    <w:rsid w:val="002B2277"/>
    <w:rsid w:val="002B2FE8"/>
    <w:rsid w:val="002B3A62"/>
    <w:rsid w:val="002B5BBF"/>
    <w:rsid w:val="002C29B5"/>
    <w:rsid w:val="002C2F70"/>
    <w:rsid w:val="002C7329"/>
    <w:rsid w:val="002D043F"/>
    <w:rsid w:val="002D23B2"/>
    <w:rsid w:val="002D2C27"/>
    <w:rsid w:val="002D3EE1"/>
    <w:rsid w:val="002D4B0D"/>
    <w:rsid w:val="002D7F18"/>
    <w:rsid w:val="002E4E15"/>
    <w:rsid w:val="002E76A1"/>
    <w:rsid w:val="002E7999"/>
    <w:rsid w:val="002E7AEF"/>
    <w:rsid w:val="002F1125"/>
    <w:rsid w:val="002F1143"/>
    <w:rsid w:val="002F3FB3"/>
    <w:rsid w:val="002F57A2"/>
    <w:rsid w:val="002F5EF0"/>
    <w:rsid w:val="0030548B"/>
    <w:rsid w:val="00305C42"/>
    <w:rsid w:val="00307D24"/>
    <w:rsid w:val="003116FC"/>
    <w:rsid w:val="00314B83"/>
    <w:rsid w:val="00314E5A"/>
    <w:rsid w:val="003151C3"/>
    <w:rsid w:val="00316279"/>
    <w:rsid w:val="00316BE5"/>
    <w:rsid w:val="00316E7F"/>
    <w:rsid w:val="003212FB"/>
    <w:rsid w:val="003267E4"/>
    <w:rsid w:val="0032705A"/>
    <w:rsid w:val="003272F0"/>
    <w:rsid w:val="00327F76"/>
    <w:rsid w:val="00332D1F"/>
    <w:rsid w:val="0033416C"/>
    <w:rsid w:val="00334FE6"/>
    <w:rsid w:val="00335C6D"/>
    <w:rsid w:val="00335E79"/>
    <w:rsid w:val="0033641F"/>
    <w:rsid w:val="003367FC"/>
    <w:rsid w:val="00337007"/>
    <w:rsid w:val="00340A24"/>
    <w:rsid w:val="00343A7E"/>
    <w:rsid w:val="00350913"/>
    <w:rsid w:val="00350DC9"/>
    <w:rsid w:val="00350E45"/>
    <w:rsid w:val="00351ED4"/>
    <w:rsid w:val="00354C42"/>
    <w:rsid w:val="003564F2"/>
    <w:rsid w:val="003572B2"/>
    <w:rsid w:val="003604A2"/>
    <w:rsid w:val="00360D3C"/>
    <w:rsid w:val="00363DE4"/>
    <w:rsid w:val="003667AB"/>
    <w:rsid w:val="00367331"/>
    <w:rsid w:val="00367702"/>
    <w:rsid w:val="003707D1"/>
    <w:rsid w:val="00371C9A"/>
    <w:rsid w:val="0037525D"/>
    <w:rsid w:val="00382359"/>
    <w:rsid w:val="00383247"/>
    <w:rsid w:val="00385A82"/>
    <w:rsid w:val="00386B85"/>
    <w:rsid w:val="003876DD"/>
    <w:rsid w:val="00387F83"/>
    <w:rsid w:val="0039217E"/>
    <w:rsid w:val="00395659"/>
    <w:rsid w:val="00395E7A"/>
    <w:rsid w:val="00396937"/>
    <w:rsid w:val="00396B99"/>
    <w:rsid w:val="003A22CF"/>
    <w:rsid w:val="003A2621"/>
    <w:rsid w:val="003A26B1"/>
    <w:rsid w:val="003A4EFE"/>
    <w:rsid w:val="003A4F53"/>
    <w:rsid w:val="003A5515"/>
    <w:rsid w:val="003A627B"/>
    <w:rsid w:val="003A7385"/>
    <w:rsid w:val="003A7A01"/>
    <w:rsid w:val="003B005D"/>
    <w:rsid w:val="003B07F8"/>
    <w:rsid w:val="003B0E2A"/>
    <w:rsid w:val="003B23A0"/>
    <w:rsid w:val="003B2CDB"/>
    <w:rsid w:val="003B3C67"/>
    <w:rsid w:val="003B4BFC"/>
    <w:rsid w:val="003B5E79"/>
    <w:rsid w:val="003B79AF"/>
    <w:rsid w:val="003B7C0C"/>
    <w:rsid w:val="003C1520"/>
    <w:rsid w:val="003C33D6"/>
    <w:rsid w:val="003D3C3C"/>
    <w:rsid w:val="003D44C2"/>
    <w:rsid w:val="003D4B31"/>
    <w:rsid w:val="003D4D05"/>
    <w:rsid w:val="003D7D6D"/>
    <w:rsid w:val="003E0B67"/>
    <w:rsid w:val="003E39B8"/>
    <w:rsid w:val="003E6736"/>
    <w:rsid w:val="003F0394"/>
    <w:rsid w:val="003F66A7"/>
    <w:rsid w:val="003F76A9"/>
    <w:rsid w:val="003F7F6A"/>
    <w:rsid w:val="00403D1D"/>
    <w:rsid w:val="00404397"/>
    <w:rsid w:val="00407629"/>
    <w:rsid w:val="00411952"/>
    <w:rsid w:val="00411AF7"/>
    <w:rsid w:val="00413D90"/>
    <w:rsid w:val="0041556B"/>
    <w:rsid w:val="0041572E"/>
    <w:rsid w:val="00415BAF"/>
    <w:rsid w:val="00415F25"/>
    <w:rsid w:val="00416351"/>
    <w:rsid w:val="004175B8"/>
    <w:rsid w:val="00422F6B"/>
    <w:rsid w:val="0042526B"/>
    <w:rsid w:val="00425A64"/>
    <w:rsid w:val="004301C2"/>
    <w:rsid w:val="00430BA7"/>
    <w:rsid w:val="00432019"/>
    <w:rsid w:val="0043368B"/>
    <w:rsid w:val="0043494D"/>
    <w:rsid w:val="00435C8E"/>
    <w:rsid w:val="00436E7D"/>
    <w:rsid w:val="004424FF"/>
    <w:rsid w:val="00443320"/>
    <w:rsid w:val="00443EA4"/>
    <w:rsid w:val="004445A3"/>
    <w:rsid w:val="0044627B"/>
    <w:rsid w:val="004466C4"/>
    <w:rsid w:val="004565C0"/>
    <w:rsid w:val="00457459"/>
    <w:rsid w:val="00460963"/>
    <w:rsid w:val="00463F6A"/>
    <w:rsid w:val="0046617D"/>
    <w:rsid w:val="00470237"/>
    <w:rsid w:val="004711AB"/>
    <w:rsid w:val="00471590"/>
    <w:rsid w:val="00472290"/>
    <w:rsid w:val="00472B56"/>
    <w:rsid w:val="0047300A"/>
    <w:rsid w:val="00473EDC"/>
    <w:rsid w:val="00474490"/>
    <w:rsid w:val="004778E4"/>
    <w:rsid w:val="00480257"/>
    <w:rsid w:val="004832E1"/>
    <w:rsid w:val="0048586E"/>
    <w:rsid w:val="00491129"/>
    <w:rsid w:val="004948C3"/>
    <w:rsid w:val="004949A0"/>
    <w:rsid w:val="004966F0"/>
    <w:rsid w:val="00496E38"/>
    <w:rsid w:val="004A0F63"/>
    <w:rsid w:val="004A123F"/>
    <w:rsid w:val="004A14D6"/>
    <w:rsid w:val="004A1971"/>
    <w:rsid w:val="004A265D"/>
    <w:rsid w:val="004A39C6"/>
    <w:rsid w:val="004A4836"/>
    <w:rsid w:val="004A50F1"/>
    <w:rsid w:val="004A5C8F"/>
    <w:rsid w:val="004B0D19"/>
    <w:rsid w:val="004B47BC"/>
    <w:rsid w:val="004B47CA"/>
    <w:rsid w:val="004B770C"/>
    <w:rsid w:val="004C048F"/>
    <w:rsid w:val="004C0F52"/>
    <w:rsid w:val="004C2202"/>
    <w:rsid w:val="004C2DFC"/>
    <w:rsid w:val="004C39AF"/>
    <w:rsid w:val="004C3CF4"/>
    <w:rsid w:val="004C458F"/>
    <w:rsid w:val="004D0C0F"/>
    <w:rsid w:val="004D0C45"/>
    <w:rsid w:val="004D1835"/>
    <w:rsid w:val="004D4AF4"/>
    <w:rsid w:val="004E0375"/>
    <w:rsid w:val="004E0D75"/>
    <w:rsid w:val="004E1438"/>
    <w:rsid w:val="004E1A4B"/>
    <w:rsid w:val="004E1D9B"/>
    <w:rsid w:val="004E2FD2"/>
    <w:rsid w:val="004E33F3"/>
    <w:rsid w:val="004E36BE"/>
    <w:rsid w:val="004E3B22"/>
    <w:rsid w:val="004E4BDD"/>
    <w:rsid w:val="004E5DE2"/>
    <w:rsid w:val="004E7645"/>
    <w:rsid w:val="004F0CF4"/>
    <w:rsid w:val="004F0FE1"/>
    <w:rsid w:val="004F14A0"/>
    <w:rsid w:val="004F280D"/>
    <w:rsid w:val="004F37F1"/>
    <w:rsid w:val="004F3BB0"/>
    <w:rsid w:val="004F4860"/>
    <w:rsid w:val="004F6D11"/>
    <w:rsid w:val="0050347F"/>
    <w:rsid w:val="00510E69"/>
    <w:rsid w:val="00511AD6"/>
    <w:rsid w:val="0051323C"/>
    <w:rsid w:val="005132F2"/>
    <w:rsid w:val="00515D06"/>
    <w:rsid w:val="00516598"/>
    <w:rsid w:val="00517A78"/>
    <w:rsid w:val="00521A68"/>
    <w:rsid w:val="00523124"/>
    <w:rsid w:val="00525196"/>
    <w:rsid w:val="00525B42"/>
    <w:rsid w:val="00527CD4"/>
    <w:rsid w:val="00527FBB"/>
    <w:rsid w:val="00530F43"/>
    <w:rsid w:val="00531158"/>
    <w:rsid w:val="005340D0"/>
    <w:rsid w:val="00535151"/>
    <w:rsid w:val="0054210D"/>
    <w:rsid w:val="00544ACD"/>
    <w:rsid w:val="00545865"/>
    <w:rsid w:val="005462A1"/>
    <w:rsid w:val="00553A91"/>
    <w:rsid w:val="0055510B"/>
    <w:rsid w:val="00556054"/>
    <w:rsid w:val="005563B3"/>
    <w:rsid w:val="005568EF"/>
    <w:rsid w:val="00556FB2"/>
    <w:rsid w:val="005633F0"/>
    <w:rsid w:val="00563ABA"/>
    <w:rsid w:val="00565643"/>
    <w:rsid w:val="005675AF"/>
    <w:rsid w:val="00570BD4"/>
    <w:rsid w:val="00573C97"/>
    <w:rsid w:val="00574D26"/>
    <w:rsid w:val="00576526"/>
    <w:rsid w:val="005769C6"/>
    <w:rsid w:val="00577CDB"/>
    <w:rsid w:val="00580759"/>
    <w:rsid w:val="00580C7D"/>
    <w:rsid w:val="005826BC"/>
    <w:rsid w:val="005833FD"/>
    <w:rsid w:val="005844BD"/>
    <w:rsid w:val="005936A0"/>
    <w:rsid w:val="00593F64"/>
    <w:rsid w:val="0059498D"/>
    <w:rsid w:val="00594CBC"/>
    <w:rsid w:val="00596D38"/>
    <w:rsid w:val="00597E22"/>
    <w:rsid w:val="00597E39"/>
    <w:rsid w:val="005B1C0D"/>
    <w:rsid w:val="005B3D89"/>
    <w:rsid w:val="005B46DB"/>
    <w:rsid w:val="005B565A"/>
    <w:rsid w:val="005B5993"/>
    <w:rsid w:val="005B6D0B"/>
    <w:rsid w:val="005B7BAF"/>
    <w:rsid w:val="005C292A"/>
    <w:rsid w:val="005C318A"/>
    <w:rsid w:val="005C3A90"/>
    <w:rsid w:val="005C49CF"/>
    <w:rsid w:val="005C5BBF"/>
    <w:rsid w:val="005C6394"/>
    <w:rsid w:val="005C64B5"/>
    <w:rsid w:val="005C7085"/>
    <w:rsid w:val="005D36DD"/>
    <w:rsid w:val="005D371E"/>
    <w:rsid w:val="005D3B71"/>
    <w:rsid w:val="005D4905"/>
    <w:rsid w:val="005D6E67"/>
    <w:rsid w:val="005E0519"/>
    <w:rsid w:val="005E0E42"/>
    <w:rsid w:val="005E3B7B"/>
    <w:rsid w:val="005E4960"/>
    <w:rsid w:val="005E4E7A"/>
    <w:rsid w:val="005E5236"/>
    <w:rsid w:val="005F1677"/>
    <w:rsid w:val="005F1F67"/>
    <w:rsid w:val="005F22EF"/>
    <w:rsid w:val="005F2A9C"/>
    <w:rsid w:val="005F41EF"/>
    <w:rsid w:val="005F5C49"/>
    <w:rsid w:val="005F6BF7"/>
    <w:rsid w:val="005F71DB"/>
    <w:rsid w:val="005F7796"/>
    <w:rsid w:val="00600209"/>
    <w:rsid w:val="00600ABA"/>
    <w:rsid w:val="006022AF"/>
    <w:rsid w:val="00602C60"/>
    <w:rsid w:val="0060313E"/>
    <w:rsid w:val="00610D97"/>
    <w:rsid w:val="00611036"/>
    <w:rsid w:val="006123E0"/>
    <w:rsid w:val="0061246F"/>
    <w:rsid w:val="0061286A"/>
    <w:rsid w:val="00617167"/>
    <w:rsid w:val="00622AC7"/>
    <w:rsid w:val="00623061"/>
    <w:rsid w:val="00624C57"/>
    <w:rsid w:val="006266D4"/>
    <w:rsid w:val="006308C5"/>
    <w:rsid w:val="00631071"/>
    <w:rsid w:val="006310E1"/>
    <w:rsid w:val="00631EFF"/>
    <w:rsid w:val="00632C09"/>
    <w:rsid w:val="00634BE9"/>
    <w:rsid w:val="00635A58"/>
    <w:rsid w:val="00637875"/>
    <w:rsid w:val="00637BEC"/>
    <w:rsid w:val="00637DFC"/>
    <w:rsid w:val="00640E8F"/>
    <w:rsid w:val="0064698F"/>
    <w:rsid w:val="006518C9"/>
    <w:rsid w:val="00652663"/>
    <w:rsid w:val="00652DAE"/>
    <w:rsid w:val="00653E4E"/>
    <w:rsid w:val="00654D3B"/>
    <w:rsid w:val="00654E01"/>
    <w:rsid w:val="00654EC7"/>
    <w:rsid w:val="006550EF"/>
    <w:rsid w:val="00655342"/>
    <w:rsid w:val="00657481"/>
    <w:rsid w:val="006611EA"/>
    <w:rsid w:val="00663075"/>
    <w:rsid w:val="006633C3"/>
    <w:rsid w:val="006639B3"/>
    <w:rsid w:val="00673BA4"/>
    <w:rsid w:val="006741BC"/>
    <w:rsid w:val="0067427C"/>
    <w:rsid w:val="006779B7"/>
    <w:rsid w:val="00681837"/>
    <w:rsid w:val="006831FE"/>
    <w:rsid w:val="00690E38"/>
    <w:rsid w:val="006911D2"/>
    <w:rsid w:val="00694D94"/>
    <w:rsid w:val="00695449"/>
    <w:rsid w:val="00696996"/>
    <w:rsid w:val="00696A19"/>
    <w:rsid w:val="006A1308"/>
    <w:rsid w:val="006A14B2"/>
    <w:rsid w:val="006A4741"/>
    <w:rsid w:val="006A5A12"/>
    <w:rsid w:val="006A5CBF"/>
    <w:rsid w:val="006B1571"/>
    <w:rsid w:val="006B2CD8"/>
    <w:rsid w:val="006B42B3"/>
    <w:rsid w:val="006B5899"/>
    <w:rsid w:val="006B5C79"/>
    <w:rsid w:val="006B6A46"/>
    <w:rsid w:val="006B7E30"/>
    <w:rsid w:val="006C0BDB"/>
    <w:rsid w:val="006C22B8"/>
    <w:rsid w:val="006C6351"/>
    <w:rsid w:val="006C75AC"/>
    <w:rsid w:val="006C7619"/>
    <w:rsid w:val="006D33F8"/>
    <w:rsid w:val="006E0361"/>
    <w:rsid w:val="006E1D2F"/>
    <w:rsid w:val="006E1F8D"/>
    <w:rsid w:val="006E3202"/>
    <w:rsid w:val="006E43D3"/>
    <w:rsid w:val="006E5905"/>
    <w:rsid w:val="006E5BEF"/>
    <w:rsid w:val="006E5DA6"/>
    <w:rsid w:val="006E7A18"/>
    <w:rsid w:val="006F02B8"/>
    <w:rsid w:val="006F12B3"/>
    <w:rsid w:val="006F4859"/>
    <w:rsid w:val="006F74AD"/>
    <w:rsid w:val="00700063"/>
    <w:rsid w:val="00701488"/>
    <w:rsid w:val="0070328B"/>
    <w:rsid w:val="007033E9"/>
    <w:rsid w:val="00703D68"/>
    <w:rsid w:val="00704A5D"/>
    <w:rsid w:val="00704B48"/>
    <w:rsid w:val="00704DAE"/>
    <w:rsid w:val="00706724"/>
    <w:rsid w:val="00707ECD"/>
    <w:rsid w:val="007116D0"/>
    <w:rsid w:val="007122B0"/>
    <w:rsid w:val="00717CE3"/>
    <w:rsid w:val="00717F9B"/>
    <w:rsid w:val="0072121C"/>
    <w:rsid w:val="007219DB"/>
    <w:rsid w:val="007219E4"/>
    <w:rsid w:val="00722E97"/>
    <w:rsid w:val="00724351"/>
    <w:rsid w:val="00727F78"/>
    <w:rsid w:val="0073284C"/>
    <w:rsid w:val="00732EED"/>
    <w:rsid w:val="007344AF"/>
    <w:rsid w:val="00735C4D"/>
    <w:rsid w:val="007367CB"/>
    <w:rsid w:val="00736E8D"/>
    <w:rsid w:val="0073707D"/>
    <w:rsid w:val="00737E96"/>
    <w:rsid w:val="007424B5"/>
    <w:rsid w:val="007465CA"/>
    <w:rsid w:val="0074757C"/>
    <w:rsid w:val="00750163"/>
    <w:rsid w:val="00753574"/>
    <w:rsid w:val="0075401A"/>
    <w:rsid w:val="00754454"/>
    <w:rsid w:val="00754985"/>
    <w:rsid w:val="00760294"/>
    <w:rsid w:val="0076057C"/>
    <w:rsid w:val="00762AF8"/>
    <w:rsid w:val="00763AA4"/>
    <w:rsid w:val="00764808"/>
    <w:rsid w:val="00770992"/>
    <w:rsid w:val="00776755"/>
    <w:rsid w:val="00780AF2"/>
    <w:rsid w:val="007810CB"/>
    <w:rsid w:val="007818D0"/>
    <w:rsid w:val="00782907"/>
    <w:rsid w:val="00782D1D"/>
    <w:rsid w:val="00785FC7"/>
    <w:rsid w:val="00786667"/>
    <w:rsid w:val="0078774A"/>
    <w:rsid w:val="0079153D"/>
    <w:rsid w:val="0079619F"/>
    <w:rsid w:val="007A1051"/>
    <w:rsid w:val="007A4B2C"/>
    <w:rsid w:val="007A4FF5"/>
    <w:rsid w:val="007A6310"/>
    <w:rsid w:val="007A7211"/>
    <w:rsid w:val="007A734A"/>
    <w:rsid w:val="007B1BB3"/>
    <w:rsid w:val="007B2453"/>
    <w:rsid w:val="007B39D4"/>
    <w:rsid w:val="007B43D8"/>
    <w:rsid w:val="007B4575"/>
    <w:rsid w:val="007B5603"/>
    <w:rsid w:val="007B5EA1"/>
    <w:rsid w:val="007B6222"/>
    <w:rsid w:val="007C025B"/>
    <w:rsid w:val="007C05ED"/>
    <w:rsid w:val="007C33D7"/>
    <w:rsid w:val="007C4F71"/>
    <w:rsid w:val="007C7AD0"/>
    <w:rsid w:val="007D4457"/>
    <w:rsid w:val="007D66D1"/>
    <w:rsid w:val="007E0738"/>
    <w:rsid w:val="007E39A0"/>
    <w:rsid w:val="007E4337"/>
    <w:rsid w:val="007E4551"/>
    <w:rsid w:val="007E50DA"/>
    <w:rsid w:val="007E593E"/>
    <w:rsid w:val="007F1792"/>
    <w:rsid w:val="007F1A64"/>
    <w:rsid w:val="007F1E5E"/>
    <w:rsid w:val="007F29BE"/>
    <w:rsid w:val="007F3CE2"/>
    <w:rsid w:val="007F43B2"/>
    <w:rsid w:val="007F614E"/>
    <w:rsid w:val="00800123"/>
    <w:rsid w:val="00800FAD"/>
    <w:rsid w:val="0080299B"/>
    <w:rsid w:val="00802CCB"/>
    <w:rsid w:val="00803C73"/>
    <w:rsid w:val="008063BB"/>
    <w:rsid w:val="008074D5"/>
    <w:rsid w:val="00807B72"/>
    <w:rsid w:val="00810E81"/>
    <w:rsid w:val="00812644"/>
    <w:rsid w:val="008147A0"/>
    <w:rsid w:val="00817951"/>
    <w:rsid w:val="00820578"/>
    <w:rsid w:val="00821333"/>
    <w:rsid w:val="00822078"/>
    <w:rsid w:val="008238C7"/>
    <w:rsid w:val="0082415A"/>
    <w:rsid w:val="00825080"/>
    <w:rsid w:val="008261A2"/>
    <w:rsid w:val="008275F5"/>
    <w:rsid w:val="00830AEA"/>
    <w:rsid w:val="00831388"/>
    <w:rsid w:val="00832D23"/>
    <w:rsid w:val="00835E14"/>
    <w:rsid w:val="00836BFC"/>
    <w:rsid w:val="00840685"/>
    <w:rsid w:val="0084074C"/>
    <w:rsid w:val="008407DA"/>
    <w:rsid w:val="0084245B"/>
    <w:rsid w:val="00842684"/>
    <w:rsid w:val="00842E1F"/>
    <w:rsid w:val="00843D0A"/>
    <w:rsid w:val="00844297"/>
    <w:rsid w:val="00844E5F"/>
    <w:rsid w:val="00845C67"/>
    <w:rsid w:val="00847AEB"/>
    <w:rsid w:val="008501A1"/>
    <w:rsid w:val="008518BE"/>
    <w:rsid w:val="0085420B"/>
    <w:rsid w:val="008573A6"/>
    <w:rsid w:val="00863888"/>
    <w:rsid w:val="00864E1F"/>
    <w:rsid w:val="008654FA"/>
    <w:rsid w:val="008655F7"/>
    <w:rsid w:val="00866567"/>
    <w:rsid w:val="008669BC"/>
    <w:rsid w:val="0087039C"/>
    <w:rsid w:val="00870ADE"/>
    <w:rsid w:val="00871F91"/>
    <w:rsid w:val="0087217C"/>
    <w:rsid w:val="00875421"/>
    <w:rsid w:val="008757C4"/>
    <w:rsid w:val="00877546"/>
    <w:rsid w:val="008804A9"/>
    <w:rsid w:val="00881560"/>
    <w:rsid w:val="00885C87"/>
    <w:rsid w:val="008872F5"/>
    <w:rsid w:val="00890D24"/>
    <w:rsid w:val="00892989"/>
    <w:rsid w:val="00894713"/>
    <w:rsid w:val="0089474F"/>
    <w:rsid w:val="00894DD4"/>
    <w:rsid w:val="00895CD3"/>
    <w:rsid w:val="00897B6A"/>
    <w:rsid w:val="008A5965"/>
    <w:rsid w:val="008A61D3"/>
    <w:rsid w:val="008A6D51"/>
    <w:rsid w:val="008B03FA"/>
    <w:rsid w:val="008B186D"/>
    <w:rsid w:val="008B6CD5"/>
    <w:rsid w:val="008C37EC"/>
    <w:rsid w:val="008C3A12"/>
    <w:rsid w:val="008C516F"/>
    <w:rsid w:val="008C5D5F"/>
    <w:rsid w:val="008C6243"/>
    <w:rsid w:val="008D245E"/>
    <w:rsid w:val="008D2F01"/>
    <w:rsid w:val="008D3512"/>
    <w:rsid w:val="008D36B6"/>
    <w:rsid w:val="008D4AEF"/>
    <w:rsid w:val="008E0127"/>
    <w:rsid w:val="008E2436"/>
    <w:rsid w:val="008E37B8"/>
    <w:rsid w:val="008F03FE"/>
    <w:rsid w:val="008F35AD"/>
    <w:rsid w:val="008F47DD"/>
    <w:rsid w:val="009001DB"/>
    <w:rsid w:val="0090150A"/>
    <w:rsid w:val="0090184D"/>
    <w:rsid w:val="00902B0C"/>
    <w:rsid w:val="0090440F"/>
    <w:rsid w:val="00905581"/>
    <w:rsid w:val="00906952"/>
    <w:rsid w:val="00907E88"/>
    <w:rsid w:val="0091047B"/>
    <w:rsid w:val="009127D9"/>
    <w:rsid w:val="00912AF8"/>
    <w:rsid w:val="009160FC"/>
    <w:rsid w:val="009220F3"/>
    <w:rsid w:val="00922B3D"/>
    <w:rsid w:val="009252F3"/>
    <w:rsid w:val="00926D86"/>
    <w:rsid w:val="009277D9"/>
    <w:rsid w:val="00927AF5"/>
    <w:rsid w:val="00936A58"/>
    <w:rsid w:val="009400E2"/>
    <w:rsid w:val="00940F1D"/>
    <w:rsid w:val="00941629"/>
    <w:rsid w:val="009423FF"/>
    <w:rsid w:val="00943B38"/>
    <w:rsid w:val="009447F9"/>
    <w:rsid w:val="009456E2"/>
    <w:rsid w:val="009467CF"/>
    <w:rsid w:val="009474C3"/>
    <w:rsid w:val="00954A0A"/>
    <w:rsid w:val="00961938"/>
    <w:rsid w:val="00962B59"/>
    <w:rsid w:val="00962F50"/>
    <w:rsid w:val="00964910"/>
    <w:rsid w:val="00965B33"/>
    <w:rsid w:val="00967BAE"/>
    <w:rsid w:val="0097416E"/>
    <w:rsid w:val="00975D4F"/>
    <w:rsid w:val="0097736D"/>
    <w:rsid w:val="00980ECA"/>
    <w:rsid w:val="00981924"/>
    <w:rsid w:val="009823AA"/>
    <w:rsid w:val="0098745F"/>
    <w:rsid w:val="00990FF4"/>
    <w:rsid w:val="00991565"/>
    <w:rsid w:val="009916F2"/>
    <w:rsid w:val="00991FED"/>
    <w:rsid w:val="009939CC"/>
    <w:rsid w:val="009A30F9"/>
    <w:rsid w:val="009A3273"/>
    <w:rsid w:val="009A4577"/>
    <w:rsid w:val="009A7F6C"/>
    <w:rsid w:val="009B0738"/>
    <w:rsid w:val="009B0866"/>
    <w:rsid w:val="009B0DAF"/>
    <w:rsid w:val="009B2FF1"/>
    <w:rsid w:val="009B3F14"/>
    <w:rsid w:val="009B4ED2"/>
    <w:rsid w:val="009B5A5A"/>
    <w:rsid w:val="009B68D1"/>
    <w:rsid w:val="009C0AE8"/>
    <w:rsid w:val="009C0EC0"/>
    <w:rsid w:val="009C17CD"/>
    <w:rsid w:val="009C4786"/>
    <w:rsid w:val="009C4C1E"/>
    <w:rsid w:val="009C772A"/>
    <w:rsid w:val="009C788C"/>
    <w:rsid w:val="009D28C0"/>
    <w:rsid w:val="009D67F9"/>
    <w:rsid w:val="009D7878"/>
    <w:rsid w:val="009E09C2"/>
    <w:rsid w:val="009E30C5"/>
    <w:rsid w:val="009F00A6"/>
    <w:rsid w:val="009F02EF"/>
    <w:rsid w:val="009F0448"/>
    <w:rsid w:val="009F07F7"/>
    <w:rsid w:val="009F1CBD"/>
    <w:rsid w:val="009F1DF6"/>
    <w:rsid w:val="009F31B7"/>
    <w:rsid w:val="009F3750"/>
    <w:rsid w:val="009F4650"/>
    <w:rsid w:val="00A008AB"/>
    <w:rsid w:val="00A01D8C"/>
    <w:rsid w:val="00A02B28"/>
    <w:rsid w:val="00A0420D"/>
    <w:rsid w:val="00A049E6"/>
    <w:rsid w:val="00A0779D"/>
    <w:rsid w:val="00A123D3"/>
    <w:rsid w:val="00A135EC"/>
    <w:rsid w:val="00A145CE"/>
    <w:rsid w:val="00A14694"/>
    <w:rsid w:val="00A14791"/>
    <w:rsid w:val="00A14DDD"/>
    <w:rsid w:val="00A15093"/>
    <w:rsid w:val="00A1610E"/>
    <w:rsid w:val="00A17936"/>
    <w:rsid w:val="00A208B3"/>
    <w:rsid w:val="00A25802"/>
    <w:rsid w:val="00A26719"/>
    <w:rsid w:val="00A26A11"/>
    <w:rsid w:val="00A27605"/>
    <w:rsid w:val="00A27E25"/>
    <w:rsid w:val="00A329B2"/>
    <w:rsid w:val="00A35815"/>
    <w:rsid w:val="00A3646E"/>
    <w:rsid w:val="00A379AB"/>
    <w:rsid w:val="00A379F9"/>
    <w:rsid w:val="00A47877"/>
    <w:rsid w:val="00A520BE"/>
    <w:rsid w:val="00A54D2B"/>
    <w:rsid w:val="00A55394"/>
    <w:rsid w:val="00A578AB"/>
    <w:rsid w:val="00A61F06"/>
    <w:rsid w:val="00A63E93"/>
    <w:rsid w:val="00A64EEA"/>
    <w:rsid w:val="00A656F8"/>
    <w:rsid w:val="00A65EF8"/>
    <w:rsid w:val="00A66E02"/>
    <w:rsid w:val="00A71889"/>
    <w:rsid w:val="00A74A71"/>
    <w:rsid w:val="00A8060C"/>
    <w:rsid w:val="00A86734"/>
    <w:rsid w:val="00A90F9B"/>
    <w:rsid w:val="00A91C3B"/>
    <w:rsid w:val="00A93FC1"/>
    <w:rsid w:val="00A94FEB"/>
    <w:rsid w:val="00A968AF"/>
    <w:rsid w:val="00A97AE2"/>
    <w:rsid w:val="00AA0ECA"/>
    <w:rsid w:val="00AA2488"/>
    <w:rsid w:val="00AA37AF"/>
    <w:rsid w:val="00AA6DAA"/>
    <w:rsid w:val="00AA711F"/>
    <w:rsid w:val="00AB1B4C"/>
    <w:rsid w:val="00AB221B"/>
    <w:rsid w:val="00AB398D"/>
    <w:rsid w:val="00AB5356"/>
    <w:rsid w:val="00AC542A"/>
    <w:rsid w:val="00AC623A"/>
    <w:rsid w:val="00AD04E3"/>
    <w:rsid w:val="00AD4297"/>
    <w:rsid w:val="00AD4738"/>
    <w:rsid w:val="00AD4832"/>
    <w:rsid w:val="00AD5CBA"/>
    <w:rsid w:val="00AD6FC9"/>
    <w:rsid w:val="00AD77A6"/>
    <w:rsid w:val="00AD7C72"/>
    <w:rsid w:val="00AE2811"/>
    <w:rsid w:val="00AE2CD9"/>
    <w:rsid w:val="00AE2CFD"/>
    <w:rsid w:val="00AE7077"/>
    <w:rsid w:val="00AE7B83"/>
    <w:rsid w:val="00AE7EF4"/>
    <w:rsid w:val="00AF016E"/>
    <w:rsid w:val="00AF6FF9"/>
    <w:rsid w:val="00B02AEE"/>
    <w:rsid w:val="00B02D9C"/>
    <w:rsid w:val="00B05A0E"/>
    <w:rsid w:val="00B05B7D"/>
    <w:rsid w:val="00B05D2F"/>
    <w:rsid w:val="00B06476"/>
    <w:rsid w:val="00B07B3E"/>
    <w:rsid w:val="00B103C0"/>
    <w:rsid w:val="00B12740"/>
    <w:rsid w:val="00B14729"/>
    <w:rsid w:val="00B15238"/>
    <w:rsid w:val="00B16569"/>
    <w:rsid w:val="00B2143C"/>
    <w:rsid w:val="00B21720"/>
    <w:rsid w:val="00B21A5A"/>
    <w:rsid w:val="00B22E7B"/>
    <w:rsid w:val="00B23513"/>
    <w:rsid w:val="00B23799"/>
    <w:rsid w:val="00B244D1"/>
    <w:rsid w:val="00B26125"/>
    <w:rsid w:val="00B32979"/>
    <w:rsid w:val="00B32D90"/>
    <w:rsid w:val="00B33DC2"/>
    <w:rsid w:val="00B35503"/>
    <w:rsid w:val="00B35EA7"/>
    <w:rsid w:val="00B372EE"/>
    <w:rsid w:val="00B41CF9"/>
    <w:rsid w:val="00B4431F"/>
    <w:rsid w:val="00B4569D"/>
    <w:rsid w:val="00B45799"/>
    <w:rsid w:val="00B45A7C"/>
    <w:rsid w:val="00B469E8"/>
    <w:rsid w:val="00B47984"/>
    <w:rsid w:val="00B47EB0"/>
    <w:rsid w:val="00B5087A"/>
    <w:rsid w:val="00B50ACE"/>
    <w:rsid w:val="00B55369"/>
    <w:rsid w:val="00B557F7"/>
    <w:rsid w:val="00B60745"/>
    <w:rsid w:val="00B60B51"/>
    <w:rsid w:val="00B623A9"/>
    <w:rsid w:val="00B66502"/>
    <w:rsid w:val="00B678D3"/>
    <w:rsid w:val="00B71EF0"/>
    <w:rsid w:val="00B7385F"/>
    <w:rsid w:val="00B757CF"/>
    <w:rsid w:val="00B761D6"/>
    <w:rsid w:val="00B76DEB"/>
    <w:rsid w:val="00B76E27"/>
    <w:rsid w:val="00B7777B"/>
    <w:rsid w:val="00B800CB"/>
    <w:rsid w:val="00B80FFB"/>
    <w:rsid w:val="00B82234"/>
    <w:rsid w:val="00B83217"/>
    <w:rsid w:val="00B837F4"/>
    <w:rsid w:val="00B84236"/>
    <w:rsid w:val="00B87692"/>
    <w:rsid w:val="00B878BA"/>
    <w:rsid w:val="00B90DF0"/>
    <w:rsid w:val="00B91F0E"/>
    <w:rsid w:val="00B9410D"/>
    <w:rsid w:val="00B9565C"/>
    <w:rsid w:val="00B96AB7"/>
    <w:rsid w:val="00B97ADC"/>
    <w:rsid w:val="00BA1A76"/>
    <w:rsid w:val="00BA2820"/>
    <w:rsid w:val="00BA3F3E"/>
    <w:rsid w:val="00BA4839"/>
    <w:rsid w:val="00BB17B5"/>
    <w:rsid w:val="00BB3641"/>
    <w:rsid w:val="00BB613F"/>
    <w:rsid w:val="00BB79FE"/>
    <w:rsid w:val="00BC1816"/>
    <w:rsid w:val="00BC3718"/>
    <w:rsid w:val="00BD04C8"/>
    <w:rsid w:val="00BD42C5"/>
    <w:rsid w:val="00BD540B"/>
    <w:rsid w:val="00BD663A"/>
    <w:rsid w:val="00BE0D27"/>
    <w:rsid w:val="00BE0E87"/>
    <w:rsid w:val="00BE5A8E"/>
    <w:rsid w:val="00BE72B1"/>
    <w:rsid w:val="00BF3412"/>
    <w:rsid w:val="00BF446A"/>
    <w:rsid w:val="00BF4886"/>
    <w:rsid w:val="00BF6375"/>
    <w:rsid w:val="00BF7598"/>
    <w:rsid w:val="00C017C6"/>
    <w:rsid w:val="00C04AE2"/>
    <w:rsid w:val="00C06277"/>
    <w:rsid w:val="00C0660D"/>
    <w:rsid w:val="00C0765C"/>
    <w:rsid w:val="00C07C46"/>
    <w:rsid w:val="00C125C3"/>
    <w:rsid w:val="00C12616"/>
    <w:rsid w:val="00C1282F"/>
    <w:rsid w:val="00C15597"/>
    <w:rsid w:val="00C15D99"/>
    <w:rsid w:val="00C161A9"/>
    <w:rsid w:val="00C20D01"/>
    <w:rsid w:val="00C21DB7"/>
    <w:rsid w:val="00C23C13"/>
    <w:rsid w:val="00C23F6D"/>
    <w:rsid w:val="00C24C56"/>
    <w:rsid w:val="00C24F9C"/>
    <w:rsid w:val="00C26E22"/>
    <w:rsid w:val="00C334A9"/>
    <w:rsid w:val="00C3477D"/>
    <w:rsid w:val="00C362DA"/>
    <w:rsid w:val="00C40986"/>
    <w:rsid w:val="00C40FC2"/>
    <w:rsid w:val="00C41189"/>
    <w:rsid w:val="00C416B3"/>
    <w:rsid w:val="00C420DD"/>
    <w:rsid w:val="00C42BB8"/>
    <w:rsid w:val="00C43350"/>
    <w:rsid w:val="00C45A19"/>
    <w:rsid w:val="00C465E3"/>
    <w:rsid w:val="00C50895"/>
    <w:rsid w:val="00C549AB"/>
    <w:rsid w:val="00C5592A"/>
    <w:rsid w:val="00C5788B"/>
    <w:rsid w:val="00C62ADE"/>
    <w:rsid w:val="00C63B43"/>
    <w:rsid w:val="00C6405E"/>
    <w:rsid w:val="00C70C8B"/>
    <w:rsid w:val="00C71E1E"/>
    <w:rsid w:val="00C7401E"/>
    <w:rsid w:val="00C7466B"/>
    <w:rsid w:val="00C74B5C"/>
    <w:rsid w:val="00C75848"/>
    <w:rsid w:val="00C76614"/>
    <w:rsid w:val="00C772B5"/>
    <w:rsid w:val="00C81EF8"/>
    <w:rsid w:val="00C82953"/>
    <w:rsid w:val="00C82E77"/>
    <w:rsid w:val="00C83F48"/>
    <w:rsid w:val="00C87878"/>
    <w:rsid w:val="00C879F7"/>
    <w:rsid w:val="00C90758"/>
    <w:rsid w:val="00C90E05"/>
    <w:rsid w:val="00C91100"/>
    <w:rsid w:val="00C93CE2"/>
    <w:rsid w:val="00C94958"/>
    <w:rsid w:val="00C97035"/>
    <w:rsid w:val="00CA28E7"/>
    <w:rsid w:val="00CA35ED"/>
    <w:rsid w:val="00CA3D4A"/>
    <w:rsid w:val="00CA5B36"/>
    <w:rsid w:val="00CA6645"/>
    <w:rsid w:val="00CB05CA"/>
    <w:rsid w:val="00CB0E6D"/>
    <w:rsid w:val="00CB14C3"/>
    <w:rsid w:val="00CB1806"/>
    <w:rsid w:val="00CB1B20"/>
    <w:rsid w:val="00CB285A"/>
    <w:rsid w:val="00CB2B99"/>
    <w:rsid w:val="00CB2C79"/>
    <w:rsid w:val="00CC089C"/>
    <w:rsid w:val="00CC0D47"/>
    <w:rsid w:val="00CC2C48"/>
    <w:rsid w:val="00CC5B4A"/>
    <w:rsid w:val="00CC71B4"/>
    <w:rsid w:val="00CD17B6"/>
    <w:rsid w:val="00CD77ED"/>
    <w:rsid w:val="00CD7DB7"/>
    <w:rsid w:val="00CE1331"/>
    <w:rsid w:val="00CE46A8"/>
    <w:rsid w:val="00CF20CC"/>
    <w:rsid w:val="00CF2404"/>
    <w:rsid w:val="00CF3E9E"/>
    <w:rsid w:val="00CF42BC"/>
    <w:rsid w:val="00CF65EA"/>
    <w:rsid w:val="00CF70BD"/>
    <w:rsid w:val="00CF7288"/>
    <w:rsid w:val="00D02250"/>
    <w:rsid w:val="00D04063"/>
    <w:rsid w:val="00D0419E"/>
    <w:rsid w:val="00D0581D"/>
    <w:rsid w:val="00D060C1"/>
    <w:rsid w:val="00D06342"/>
    <w:rsid w:val="00D07819"/>
    <w:rsid w:val="00D1086E"/>
    <w:rsid w:val="00D108E6"/>
    <w:rsid w:val="00D11737"/>
    <w:rsid w:val="00D122C5"/>
    <w:rsid w:val="00D1348D"/>
    <w:rsid w:val="00D217B0"/>
    <w:rsid w:val="00D22928"/>
    <w:rsid w:val="00D2375E"/>
    <w:rsid w:val="00D25016"/>
    <w:rsid w:val="00D3067B"/>
    <w:rsid w:val="00D33BAE"/>
    <w:rsid w:val="00D358BF"/>
    <w:rsid w:val="00D360D8"/>
    <w:rsid w:val="00D36C50"/>
    <w:rsid w:val="00D371D2"/>
    <w:rsid w:val="00D40D13"/>
    <w:rsid w:val="00D4159E"/>
    <w:rsid w:val="00D41BE2"/>
    <w:rsid w:val="00D45CE4"/>
    <w:rsid w:val="00D45E26"/>
    <w:rsid w:val="00D45E37"/>
    <w:rsid w:val="00D46517"/>
    <w:rsid w:val="00D537E8"/>
    <w:rsid w:val="00D53AF4"/>
    <w:rsid w:val="00D56E11"/>
    <w:rsid w:val="00D57E47"/>
    <w:rsid w:val="00D61540"/>
    <w:rsid w:val="00D61A86"/>
    <w:rsid w:val="00D61BE8"/>
    <w:rsid w:val="00D621E4"/>
    <w:rsid w:val="00D643D5"/>
    <w:rsid w:val="00D64DC3"/>
    <w:rsid w:val="00D6532C"/>
    <w:rsid w:val="00D67D0A"/>
    <w:rsid w:val="00D67EA2"/>
    <w:rsid w:val="00D707BF"/>
    <w:rsid w:val="00D70D2F"/>
    <w:rsid w:val="00D70E42"/>
    <w:rsid w:val="00D70F10"/>
    <w:rsid w:val="00D71D6F"/>
    <w:rsid w:val="00D72D8D"/>
    <w:rsid w:val="00D73209"/>
    <w:rsid w:val="00D7382A"/>
    <w:rsid w:val="00D74AB7"/>
    <w:rsid w:val="00D7601B"/>
    <w:rsid w:val="00D85830"/>
    <w:rsid w:val="00D8774D"/>
    <w:rsid w:val="00D918F3"/>
    <w:rsid w:val="00D923DC"/>
    <w:rsid w:val="00D93D0B"/>
    <w:rsid w:val="00D97868"/>
    <w:rsid w:val="00DA2279"/>
    <w:rsid w:val="00DA2683"/>
    <w:rsid w:val="00DA2CA5"/>
    <w:rsid w:val="00DA5285"/>
    <w:rsid w:val="00DA63F9"/>
    <w:rsid w:val="00DA699A"/>
    <w:rsid w:val="00DB19A5"/>
    <w:rsid w:val="00DB60E1"/>
    <w:rsid w:val="00DC00F4"/>
    <w:rsid w:val="00DC0577"/>
    <w:rsid w:val="00DC3B8B"/>
    <w:rsid w:val="00DC63E6"/>
    <w:rsid w:val="00DD0729"/>
    <w:rsid w:val="00DD21C3"/>
    <w:rsid w:val="00DD2D64"/>
    <w:rsid w:val="00DD4A6A"/>
    <w:rsid w:val="00DD50E4"/>
    <w:rsid w:val="00DD5170"/>
    <w:rsid w:val="00DD5D64"/>
    <w:rsid w:val="00DE06C4"/>
    <w:rsid w:val="00DE0928"/>
    <w:rsid w:val="00DE1E20"/>
    <w:rsid w:val="00DE3A16"/>
    <w:rsid w:val="00DE3F15"/>
    <w:rsid w:val="00DE4143"/>
    <w:rsid w:val="00DE6E0F"/>
    <w:rsid w:val="00DF095F"/>
    <w:rsid w:val="00DF1065"/>
    <w:rsid w:val="00DF2C44"/>
    <w:rsid w:val="00DF34C7"/>
    <w:rsid w:val="00DF6797"/>
    <w:rsid w:val="00DF7CAF"/>
    <w:rsid w:val="00E00ACE"/>
    <w:rsid w:val="00E03027"/>
    <w:rsid w:val="00E03F44"/>
    <w:rsid w:val="00E05757"/>
    <w:rsid w:val="00E05CE7"/>
    <w:rsid w:val="00E0654A"/>
    <w:rsid w:val="00E067DE"/>
    <w:rsid w:val="00E10875"/>
    <w:rsid w:val="00E11320"/>
    <w:rsid w:val="00E12915"/>
    <w:rsid w:val="00E135E6"/>
    <w:rsid w:val="00E144CB"/>
    <w:rsid w:val="00E2015D"/>
    <w:rsid w:val="00E27F8B"/>
    <w:rsid w:val="00E33D8C"/>
    <w:rsid w:val="00E3450C"/>
    <w:rsid w:val="00E3532C"/>
    <w:rsid w:val="00E40716"/>
    <w:rsid w:val="00E42695"/>
    <w:rsid w:val="00E438BF"/>
    <w:rsid w:val="00E462FF"/>
    <w:rsid w:val="00E46B30"/>
    <w:rsid w:val="00E46D87"/>
    <w:rsid w:val="00E472B9"/>
    <w:rsid w:val="00E51C73"/>
    <w:rsid w:val="00E51D0B"/>
    <w:rsid w:val="00E53458"/>
    <w:rsid w:val="00E56AC0"/>
    <w:rsid w:val="00E56F76"/>
    <w:rsid w:val="00E56FC8"/>
    <w:rsid w:val="00E6121F"/>
    <w:rsid w:val="00E62519"/>
    <w:rsid w:val="00E64F5B"/>
    <w:rsid w:val="00E7081F"/>
    <w:rsid w:val="00E71704"/>
    <w:rsid w:val="00E7262B"/>
    <w:rsid w:val="00E7574C"/>
    <w:rsid w:val="00E76236"/>
    <w:rsid w:val="00E76D56"/>
    <w:rsid w:val="00E8078E"/>
    <w:rsid w:val="00E837F2"/>
    <w:rsid w:val="00E869FA"/>
    <w:rsid w:val="00E877B3"/>
    <w:rsid w:val="00E94DD1"/>
    <w:rsid w:val="00E963FD"/>
    <w:rsid w:val="00E97150"/>
    <w:rsid w:val="00EA2A55"/>
    <w:rsid w:val="00EA46FD"/>
    <w:rsid w:val="00EA6ECE"/>
    <w:rsid w:val="00EB26F5"/>
    <w:rsid w:val="00EB491B"/>
    <w:rsid w:val="00EB5EF1"/>
    <w:rsid w:val="00EC2B39"/>
    <w:rsid w:val="00EC35BE"/>
    <w:rsid w:val="00EC5057"/>
    <w:rsid w:val="00ED2A04"/>
    <w:rsid w:val="00ED3D3B"/>
    <w:rsid w:val="00ED5D29"/>
    <w:rsid w:val="00ED6463"/>
    <w:rsid w:val="00ED6728"/>
    <w:rsid w:val="00ED7DA3"/>
    <w:rsid w:val="00ED7FE6"/>
    <w:rsid w:val="00EE1A8D"/>
    <w:rsid w:val="00EE22E9"/>
    <w:rsid w:val="00EE25B8"/>
    <w:rsid w:val="00EE34AB"/>
    <w:rsid w:val="00EE6328"/>
    <w:rsid w:val="00EE681F"/>
    <w:rsid w:val="00EF015D"/>
    <w:rsid w:val="00EF05F4"/>
    <w:rsid w:val="00EF1F64"/>
    <w:rsid w:val="00EF5B51"/>
    <w:rsid w:val="00EF74E5"/>
    <w:rsid w:val="00F00B47"/>
    <w:rsid w:val="00F015B5"/>
    <w:rsid w:val="00F01B33"/>
    <w:rsid w:val="00F022A8"/>
    <w:rsid w:val="00F0525A"/>
    <w:rsid w:val="00F05A60"/>
    <w:rsid w:val="00F06DB0"/>
    <w:rsid w:val="00F13600"/>
    <w:rsid w:val="00F13723"/>
    <w:rsid w:val="00F141C4"/>
    <w:rsid w:val="00F167CE"/>
    <w:rsid w:val="00F241A8"/>
    <w:rsid w:val="00F24C01"/>
    <w:rsid w:val="00F27A88"/>
    <w:rsid w:val="00F27E6C"/>
    <w:rsid w:val="00F30C61"/>
    <w:rsid w:val="00F310DF"/>
    <w:rsid w:val="00F316B2"/>
    <w:rsid w:val="00F36D20"/>
    <w:rsid w:val="00F37B58"/>
    <w:rsid w:val="00F40CAC"/>
    <w:rsid w:val="00F42DCA"/>
    <w:rsid w:val="00F47C3D"/>
    <w:rsid w:val="00F50251"/>
    <w:rsid w:val="00F524C6"/>
    <w:rsid w:val="00F54B7A"/>
    <w:rsid w:val="00F55BCB"/>
    <w:rsid w:val="00F560F9"/>
    <w:rsid w:val="00F56F76"/>
    <w:rsid w:val="00F6055D"/>
    <w:rsid w:val="00F618C7"/>
    <w:rsid w:val="00F62811"/>
    <w:rsid w:val="00F67021"/>
    <w:rsid w:val="00F70DA8"/>
    <w:rsid w:val="00F73122"/>
    <w:rsid w:val="00F747C0"/>
    <w:rsid w:val="00F76795"/>
    <w:rsid w:val="00F830E9"/>
    <w:rsid w:val="00F83BC7"/>
    <w:rsid w:val="00F84244"/>
    <w:rsid w:val="00F84FE7"/>
    <w:rsid w:val="00F87468"/>
    <w:rsid w:val="00F87B59"/>
    <w:rsid w:val="00F9033D"/>
    <w:rsid w:val="00F9116B"/>
    <w:rsid w:val="00F94E08"/>
    <w:rsid w:val="00F96DB3"/>
    <w:rsid w:val="00FA165B"/>
    <w:rsid w:val="00FA2DFD"/>
    <w:rsid w:val="00FA486F"/>
    <w:rsid w:val="00FA76E4"/>
    <w:rsid w:val="00FB0CF4"/>
    <w:rsid w:val="00FB387E"/>
    <w:rsid w:val="00FB3DE7"/>
    <w:rsid w:val="00FB5B94"/>
    <w:rsid w:val="00FB5F6C"/>
    <w:rsid w:val="00FC1746"/>
    <w:rsid w:val="00FC2B32"/>
    <w:rsid w:val="00FC5487"/>
    <w:rsid w:val="00FC5D31"/>
    <w:rsid w:val="00FC7D48"/>
    <w:rsid w:val="00FD0B09"/>
    <w:rsid w:val="00FD55F7"/>
    <w:rsid w:val="00FD76D9"/>
    <w:rsid w:val="00FE1F85"/>
    <w:rsid w:val="00FE302D"/>
    <w:rsid w:val="00FE4349"/>
    <w:rsid w:val="00FE672F"/>
    <w:rsid w:val="00FE6F6C"/>
    <w:rsid w:val="00FF7786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7C59BEEF"/>
  <w15:docId w15:val="{48CE340F-6823-463E-A161-2A619F15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D4457"/>
    <w:rPr>
      <w:rFonts w:ascii="Times New Roman" w:hAnsi="Times New Roman"/>
    </w:rPr>
  </w:style>
  <w:style w:type="paragraph" w:styleId="Heading1">
    <w:name w:val="heading 1"/>
    <w:basedOn w:val="Normal"/>
    <w:next w:val="BodyText"/>
    <w:uiPriority w:val="1"/>
    <w:qFormat/>
    <w:rsid w:val="00B4431F"/>
    <w:pPr>
      <w:spacing w:before="240" w:after="120"/>
      <w:outlineLvl w:val="0"/>
    </w:pPr>
    <w:rPr>
      <w:rFonts w:eastAsia="Times New Roman"/>
      <w:b/>
      <w:bCs/>
      <w:sz w:val="36"/>
      <w:szCs w:val="32"/>
    </w:rPr>
  </w:style>
  <w:style w:type="paragraph" w:styleId="Heading2">
    <w:name w:val="heading 2"/>
    <w:basedOn w:val="Normal"/>
    <w:next w:val="BodyText"/>
    <w:uiPriority w:val="1"/>
    <w:qFormat/>
    <w:rsid w:val="00C0660D"/>
    <w:pPr>
      <w:spacing w:before="240" w:after="120"/>
      <w:outlineLvl w:val="1"/>
    </w:pPr>
    <w:rPr>
      <w:rFonts w:eastAsia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E681F"/>
    <w:pPr>
      <w:spacing w:before="240"/>
      <w:outlineLvl w:val="2"/>
    </w:pPr>
    <w:rPr>
      <w:rFonts w:eastAsia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015D"/>
    <w:pPr>
      <w:keepNext/>
      <w:keepLines/>
      <w:spacing w:before="200"/>
      <w:outlineLvl w:val="3"/>
    </w:pPr>
    <w:rPr>
      <w:rFonts w:eastAsiaTheme="majorEastAsia" w:cstheme="majorBidi"/>
      <w:bCs/>
      <w:iCs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015D"/>
    <w:pPr>
      <w:keepNext/>
      <w:keepLines/>
      <w:spacing w:before="200"/>
      <w:outlineLvl w:val="4"/>
    </w:pPr>
    <w:rPr>
      <w:rFonts w:eastAsiaTheme="majorEastAsia" w:cstheme="majorBidi"/>
      <w:i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B5C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4301C2"/>
    <w:pPr>
      <w:spacing w:before="60"/>
    </w:pPr>
    <w:rPr>
      <w:b/>
      <w:bCs/>
      <w:sz w:val="24"/>
      <w:szCs w:val="20"/>
    </w:rPr>
  </w:style>
  <w:style w:type="paragraph" w:styleId="TOC2">
    <w:name w:val="toc 2"/>
    <w:basedOn w:val="Normal"/>
    <w:uiPriority w:val="39"/>
    <w:qFormat/>
    <w:rsid w:val="004301C2"/>
    <w:pPr>
      <w:ind w:left="288"/>
    </w:pPr>
    <w:rPr>
      <w:sz w:val="24"/>
      <w:szCs w:val="20"/>
    </w:rPr>
  </w:style>
  <w:style w:type="paragraph" w:styleId="TOC3">
    <w:name w:val="toc 3"/>
    <w:basedOn w:val="Normal"/>
    <w:uiPriority w:val="39"/>
    <w:qFormat/>
    <w:rsid w:val="00764808"/>
    <w:pPr>
      <w:ind w:left="288"/>
    </w:pPr>
    <w:rPr>
      <w:iCs/>
      <w:sz w:val="24"/>
      <w:szCs w:val="20"/>
    </w:rPr>
  </w:style>
  <w:style w:type="paragraph" w:styleId="TOC4">
    <w:name w:val="toc 4"/>
    <w:basedOn w:val="Normal"/>
    <w:uiPriority w:val="39"/>
    <w:qFormat/>
    <w:rsid w:val="00EE6328"/>
    <w:pPr>
      <w:ind w:left="660"/>
    </w:pPr>
    <w:rPr>
      <w:sz w:val="18"/>
      <w:szCs w:val="18"/>
    </w:rPr>
  </w:style>
  <w:style w:type="paragraph" w:styleId="TOC5">
    <w:name w:val="toc 5"/>
    <w:basedOn w:val="Normal"/>
    <w:uiPriority w:val="39"/>
    <w:qFormat/>
    <w:rsid w:val="00EE6328"/>
    <w:pPr>
      <w:ind w:left="88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81F05"/>
    <w:pPr>
      <w:spacing w:before="120" w:after="120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E6328"/>
  </w:style>
  <w:style w:type="character" w:styleId="Hyperlink">
    <w:name w:val="Hyperlink"/>
    <w:basedOn w:val="DefaultParagraphFont"/>
    <w:uiPriority w:val="99"/>
    <w:unhideWhenUsed/>
    <w:rsid w:val="00282C34"/>
    <w:rPr>
      <w:rFonts w:ascii="Times New Roman" w:hAnsi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1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06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D3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EE1"/>
  </w:style>
  <w:style w:type="paragraph" w:styleId="EndnoteText">
    <w:name w:val="endnote text"/>
    <w:basedOn w:val="Normal"/>
    <w:link w:val="EndnoteTextChar"/>
    <w:uiPriority w:val="99"/>
    <w:semiHidden/>
    <w:unhideWhenUsed/>
    <w:rsid w:val="00573C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3C9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3C9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03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03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03FA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1"/>
    <w:rsid w:val="00EE681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1F05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E6328"/>
    <w:pPr>
      <w:widowControl/>
    </w:pPr>
  </w:style>
  <w:style w:type="paragraph" w:customStyle="1" w:styleId="PMS">
    <w:name w:val="PMS#"/>
    <w:basedOn w:val="Normal"/>
    <w:next w:val="Normal"/>
    <w:qFormat/>
    <w:rsid w:val="00544ACD"/>
    <w:pPr>
      <w:pBdr>
        <w:bottom w:val="single" w:sz="4" w:space="1" w:color="auto"/>
      </w:pBdr>
      <w:tabs>
        <w:tab w:val="right" w:pos="10080"/>
      </w:tabs>
      <w:spacing w:before="600"/>
    </w:pPr>
    <w:rPr>
      <w:sz w:val="28"/>
    </w:rPr>
  </w:style>
  <w:style w:type="character" w:styleId="BookTitle">
    <w:name w:val="Book Title"/>
    <w:basedOn w:val="DefaultParagraphFont"/>
    <w:qFormat/>
    <w:rsid w:val="00EE6328"/>
    <w:rPr>
      <w:rFonts w:ascii="Times New Roman" w:hAnsi="Times New Roman"/>
      <w:b w:val="0"/>
      <w:bCs/>
      <w:caps w:val="0"/>
      <w:smallCaps w:val="0"/>
      <w:spacing w:val="5"/>
      <w:sz w:val="72"/>
    </w:rPr>
  </w:style>
  <w:style w:type="paragraph" w:styleId="TOC6">
    <w:name w:val="toc 6"/>
    <w:basedOn w:val="Normal"/>
    <w:next w:val="Normal"/>
    <w:autoRedefine/>
    <w:uiPriority w:val="39"/>
    <w:unhideWhenUsed/>
    <w:rsid w:val="00CF2404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CF2404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CF2404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CF2404"/>
    <w:pPr>
      <w:ind w:left="1760"/>
    </w:pPr>
    <w:rPr>
      <w:sz w:val="18"/>
      <w:szCs w:val="18"/>
    </w:rPr>
  </w:style>
  <w:style w:type="paragraph" w:styleId="TOCHeading">
    <w:name w:val="TOC Heading"/>
    <w:next w:val="Normal"/>
    <w:uiPriority w:val="39"/>
    <w:unhideWhenUsed/>
    <w:qFormat/>
    <w:rsid w:val="00D923DC"/>
    <w:pPr>
      <w:keepNext/>
      <w:keepLines/>
      <w:spacing w:after="360"/>
      <w:ind w:left="1872" w:hanging="1872"/>
      <w:jc w:val="center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Caption">
    <w:name w:val="caption"/>
    <w:basedOn w:val="Normal"/>
    <w:next w:val="Normal"/>
    <w:unhideWhenUsed/>
    <w:qFormat/>
    <w:rsid w:val="002104EB"/>
    <w:pPr>
      <w:spacing w:before="360" w:after="200"/>
    </w:pPr>
    <w:rPr>
      <w:b/>
      <w:bCs/>
      <w:sz w:val="20"/>
      <w:szCs w:val="18"/>
    </w:rPr>
  </w:style>
  <w:style w:type="table" w:styleId="TableGrid">
    <w:name w:val="Table Grid"/>
    <w:basedOn w:val="TableNormal"/>
    <w:uiPriority w:val="59"/>
    <w:rsid w:val="00155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EC5057"/>
    <w:pPr>
      <w:spacing w:after="120"/>
      <w:jc w:val="center"/>
    </w:pPr>
    <w:rPr>
      <w:rFonts w:eastAsiaTheme="majorEastAsia" w:cstheme="majorBidi"/>
      <w:spacing w:val="5"/>
      <w:kern w:val="28"/>
      <w:sz w:val="6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5057"/>
    <w:rPr>
      <w:rFonts w:ascii="Times New Roman" w:eastAsiaTheme="majorEastAsia" w:hAnsi="Times New Roman" w:cstheme="majorBidi"/>
      <w:spacing w:val="5"/>
      <w:kern w:val="28"/>
      <w:sz w:val="6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877"/>
    <w:pPr>
      <w:numPr>
        <w:ilvl w:val="1"/>
      </w:numPr>
    </w:pPr>
    <w:rPr>
      <w:rFonts w:asciiTheme="majorHAnsi" w:eastAsiaTheme="majorEastAsia" w:hAnsiTheme="majorHAnsi" w:cstheme="majorBidi"/>
      <w:i/>
      <w:iCs/>
      <w:color w:val="808080" w:themeColor="background1" w:themeShade="80"/>
      <w:spacing w:val="15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B2CD8"/>
  </w:style>
  <w:style w:type="paragraph" w:styleId="TableofFigures">
    <w:name w:val="table of figures"/>
    <w:basedOn w:val="Normal"/>
    <w:next w:val="Normal"/>
    <w:uiPriority w:val="99"/>
    <w:unhideWhenUsed/>
    <w:rsid w:val="00A14791"/>
    <w:pPr>
      <w:spacing w:line="260" w:lineRule="exact"/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3400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2015D"/>
    <w:rPr>
      <w:rFonts w:ascii="Times New Roman" w:eastAsiaTheme="majorEastAsia" w:hAnsi="Times New Roman" w:cstheme="majorBidi"/>
      <w:bCs/>
      <w:iCs/>
      <w:sz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A47877"/>
    <w:rPr>
      <w:rFonts w:asciiTheme="majorHAnsi" w:eastAsiaTheme="majorEastAsia" w:hAnsiTheme="majorHAnsi" w:cstheme="majorBidi"/>
      <w:i/>
      <w:iCs/>
      <w:color w:val="808080" w:themeColor="background1" w:themeShade="80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47877"/>
    <w:rPr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rsid w:val="00E2015D"/>
    <w:rPr>
      <w:rFonts w:ascii="Times New Roman" w:eastAsiaTheme="majorEastAsia" w:hAnsi="Times New Roman" w:cstheme="majorBidi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877"/>
    <w:pPr>
      <w:pBdr>
        <w:bottom w:val="single" w:sz="4" w:space="4" w:color="7F7F7F" w:themeColor="text1" w:themeTint="80"/>
      </w:pBdr>
      <w:spacing w:before="200" w:after="280"/>
      <w:ind w:left="936" w:right="936"/>
    </w:pPr>
    <w:rPr>
      <w:b/>
      <w:bCs/>
      <w:i/>
      <w:iCs/>
      <w:color w:val="7F7F7F" w:themeColor="text1" w:themeTint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877"/>
    <w:rPr>
      <w:rFonts w:ascii="Times New Roman" w:hAnsi="Times New Roman"/>
      <w:b/>
      <w:bCs/>
      <w:i/>
      <w:iCs/>
      <w:color w:val="7F7F7F" w:themeColor="text1" w:themeTint="80"/>
    </w:rPr>
  </w:style>
  <w:style w:type="paragraph" w:customStyle="1" w:styleId="Appendix">
    <w:name w:val="Appendix"/>
    <w:basedOn w:val="Heading1"/>
    <w:next w:val="BodyText"/>
    <w:uiPriority w:val="1"/>
    <w:rsid w:val="005D6E67"/>
    <w:pPr>
      <w:numPr>
        <w:numId w:val="4"/>
      </w:numPr>
      <w:ind w:left="2016" w:hanging="2016"/>
    </w:pPr>
    <w:rPr>
      <w:rFonts w:cs="Times New Roman"/>
      <w:spacing w:val="-10"/>
    </w:rPr>
  </w:style>
  <w:style w:type="paragraph" w:styleId="ListNumber3">
    <w:name w:val="List Number 3"/>
    <w:basedOn w:val="Normal"/>
    <w:uiPriority w:val="99"/>
    <w:unhideWhenUsed/>
    <w:rsid w:val="006E3202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unhideWhenUsed/>
    <w:rsid w:val="0019262A"/>
    <w:pPr>
      <w:numPr>
        <w:numId w:val="12"/>
      </w:numPr>
      <w:spacing w:before="120" w:after="120"/>
      <w:ind w:hanging="720"/>
    </w:pPr>
    <w:rPr>
      <w:sz w:val="24"/>
    </w:rPr>
  </w:style>
  <w:style w:type="paragraph" w:styleId="ListNumber4">
    <w:name w:val="List Number 4"/>
    <w:basedOn w:val="Normal"/>
    <w:uiPriority w:val="99"/>
    <w:semiHidden/>
    <w:unhideWhenUsed/>
    <w:rsid w:val="006E3202"/>
    <w:pPr>
      <w:numPr>
        <w:numId w:val="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3202"/>
    <w:pPr>
      <w:numPr>
        <w:numId w:val="3"/>
      </w:numPr>
      <w:contextualSpacing/>
    </w:pPr>
  </w:style>
  <w:style w:type="paragraph" w:styleId="Header">
    <w:name w:val="header"/>
    <w:basedOn w:val="Normal"/>
    <w:link w:val="HeaderChar"/>
    <w:unhideWhenUsed/>
    <w:rsid w:val="00AE7E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7EF4"/>
    <w:rPr>
      <w:rFonts w:ascii="Times New Roman" w:hAnsi="Times New Roman"/>
    </w:rPr>
  </w:style>
  <w:style w:type="numbering" w:customStyle="1" w:styleId="Style1">
    <w:name w:val="Style1"/>
    <w:uiPriority w:val="99"/>
    <w:rsid w:val="00AE7EF4"/>
    <w:pPr>
      <w:numPr>
        <w:numId w:val="5"/>
      </w:numPr>
    </w:pPr>
  </w:style>
  <w:style w:type="paragraph" w:customStyle="1" w:styleId="CallOut">
    <w:name w:val="Call Out"/>
    <w:basedOn w:val="BodyText"/>
    <w:uiPriority w:val="1"/>
    <w:qFormat/>
    <w:rsid w:val="00A63E93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DBDB" w:themeFill="accent2" w:themeFillTint="33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6B5C7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Bullet">
    <w:name w:val="List Bullet"/>
    <w:basedOn w:val="Normal"/>
    <w:uiPriority w:val="99"/>
    <w:unhideWhenUsed/>
    <w:rsid w:val="006B6A46"/>
    <w:pPr>
      <w:spacing w:before="120"/>
    </w:pPr>
    <w:rPr>
      <w:sz w:val="24"/>
    </w:rPr>
  </w:style>
  <w:style w:type="paragraph" w:customStyle="1" w:styleId="NFES">
    <w:name w:val="NFES#"/>
    <w:basedOn w:val="Normal"/>
    <w:uiPriority w:val="1"/>
    <w:qFormat/>
    <w:rsid w:val="000F48F5"/>
    <w:pPr>
      <w:tabs>
        <w:tab w:val="right" w:pos="9000"/>
      </w:tabs>
      <w:autoSpaceDE w:val="0"/>
      <w:autoSpaceDN w:val="0"/>
      <w:adjustRightInd w:val="0"/>
      <w:spacing w:before="60"/>
    </w:pPr>
    <w:rPr>
      <w:color w:val="000000"/>
      <w:sz w:val="28"/>
      <w:szCs w:val="28"/>
    </w:rPr>
  </w:style>
  <w:style w:type="paragraph" w:customStyle="1" w:styleId="CAPS">
    <w:name w:val="CAPS"/>
    <w:next w:val="BodyText"/>
    <w:uiPriority w:val="1"/>
    <w:qFormat/>
    <w:rsid w:val="007D4457"/>
    <w:pPr>
      <w:spacing w:before="600"/>
    </w:pPr>
    <w:rPr>
      <w:rFonts w:ascii="Times New Roman" w:hAnsi="Times New Roman"/>
      <w:caps/>
      <w:sz w:val="28"/>
    </w:rPr>
  </w:style>
  <w:style w:type="paragraph" w:customStyle="1" w:styleId="StatusTitlePage">
    <w:name w:val="Status_Title Page"/>
    <w:basedOn w:val="PMS"/>
    <w:uiPriority w:val="1"/>
    <w:qFormat/>
    <w:rsid w:val="00CA28E7"/>
    <w:pPr>
      <w:pBdr>
        <w:bottom w:val="none" w:sz="0" w:space="0" w:color="auto"/>
      </w:pBdr>
      <w:spacing w:before="0" w:after="600"/>
      <w:contextualSpacing/>
    </w:pPr>
  </w:style>
  <w:style w:type="paragraph" w:styleId="List">
    <w:name w:val="List"/>
    <w:basedOn w:val="Normal"/>
    <w:uiPriority w:val="99"/>
    <w:unhideWhenUsed/>
    <w:rsid w:val="002D23B2"/>
    <w:pPr>
      <w:ind w:left="360" w:hanging="360"/>
      <w:contextualSpacing/>
    </w:pPr>
  </w:style>
  <w:style w:type="numbering" w:customStyle="1" w:styleId="Style2">
    <w:name w:val="Style2"/>
    <w:uiPriority w:val="99"/>
    <w:rsid w:val="006B6A46"/>
    <w:pPr>
      <w:numPr>
        <w:numId w:val="9"/>
      </w:numPr>
    </w:pPr>
  </w:style>
  <w:style w:type="paragraph" w:customStyle="1" w:styleId="InsideCoverTitle">
    <w:name w:val="Inside Cover Title"/>
    <w:basedOn w:val="Normal"/>
    <w:uiPriority w:val="1"/>
    <w:qFormat/>
    <w:rsid w:val="00CA28E7"/>
    <w:pPr>
      <w:spacing w:after="720"/>
    </w:pPr>
    <w:rPr>
      <w:sz w:val="56"/>
    </w:rPr>
  </w:style>
  <w:style w:type="numbering" w:customStyle="1" w:styleId="Multlist">
    <w:name w:val="Mult list"/>
    <w:uiPriority w:val="99"/>
    <w:rsid w:val="00E40716"/>
    <w:pPr>
      <w:numPr>
        <w:numId w:val="10"/>
      </w:numPr>
    </w:pPr>
  </w:style>
  <w:style w:type="paragraph" w:styleId="ListContinue">
    <w:name w:val="List Continue"/>
    <w:basedOn w:val="Normal"/>
    <w:uiPriority w:val="99"/>
    <w:unhideWhenUsed/>
    <w:rsid w:val="00C6405E"/>
    <w:pPr>
      <w:spacing w:after="120"/>
      <w:ind w:left="360"/>
      <w:contextualSpacing/>
    </w:pPr>
  </w:style>
  <w:style w:type="paragraph" w:styleId="BlockText">
    <w:name w:val="Block Text"/>
    <w:basedOn w:val="Normal"/>
    <w:uiPriority w:val="99"/>
    <w:semiHidden/>
    <w:unhideWhenUsed/>
    <w:rsid w:val="007D445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460963"/>
    <w:pPr>
      <w:widowControl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54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0548B"/>
    <w:rPr>
      <w:rFonts w:ascii="Times New Roman" w:hAnsi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054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0548B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wcg.gov/committees/interagency-aerial-ignition-unit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0AB95-F6B1-4590-AF7E-DF2622AB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2429</Words>
  <Characters>14321</Characters>
  <Application>Microsoft Office Word</Application>
  <DocSecurity>2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NWCG Standards for Aerial Ignition – Appendix C – Torch Inspection</vt:lpstr>
    </vt:vector>
  </TitlesOfParts>
  <Company>NWCG</Company>
  <LinksUpToDate>false</LinksUpToDate>
  <CharactersWithSpaces>16717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NWCG Standards for Aerial Ignition – Appendix C – Torch Inspection</dc:title>
  <dc:subject>NWCG</dc:subject>
  <dc:creator>NWCG Publications</dc:creator>
  <cp:keywords>Standards for Aerial Ignition, PMS 501, National Interagency Aviation Committee (NIAC), Interagency Aerial Ignition Unit (IAIU), Torch Inspection</cp:keywords>
  <dc:description/>
  <cp:lastModifiedBy>rtouchette</cp:lastModifiedBy>
  <cp:revision>3</cp:revision>
  <cp:lastPrinted>2018-04-19T16:12:00Z</cp:lastPrinted>
  <dcterms:created xsi:type="dcterms:W3CDTF">2018-04-19T18:57:00Z</dcterms:created>
  <dcterms:modified xsi:type="dcterms:W3CDTF">2018-05-07T19:21:00Z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2014-01-03T00:00:00Z</vt:filetime>
  </property>
  <property fmtid="{D5CDD505-2E9C-101B-9397-08002B2CF9AE}" pid="3" name="LastSaved">
    <vt:filetime>2014-12-15T00:00:00Z</vt:filetime>
  </property>
</Properties>
</file>